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892"/>
        <w:gridCol w:w="2074"/>
        <w:gridCol w:w="1893"/>
        <w:gridCol w:w="1893"/>
        <w:gridCol w:w="1871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附件3-1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eastAsia="方正小标宋_GBK"/>
                <w:kern w:val="0"/>
                <w:sz w:val="36"/>
                <w:szCs w:val="36"/>
              </w:rPr>
              <w:t>中共重庆市梁平区委党校财政拨款收支总表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收入</w:t>
            </w:r>
          </w:p>
        </w:tc>
        <w:tc>
          <w:tcPr>
            <w:tcW w:w="9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预算数</w:t>
            </w:r>
          </w:p>
        </w:tc>
        <w:tc>
          <w:tcPr>
            <w:tcW w:w="2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一般公共预算财政拨款</w:t>
            </w:r>
          </w:p>
        </w:tc>
        <w:tc>
          <w:tcPr>
            <w:tcW w:w="1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政府性基金预算财政拨款</w:t>
            </w:r>
          </w:p>
        </w:tc>
        <w:tc>
          <w:tcPr>
            <w:tcW w:w="1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一、本年收入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一、本年支出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一般公共预算拨款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一般公共服务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政府性基金预算拨款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487.08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487.08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国有资本经营预算拨款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社会保障和就业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93.89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93.89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二、上年结转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卫生健康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一般公共预算拨款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节能环保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政府性基金预算拨款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城乡社区事务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国有资本经营预算拨款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住房保障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二、结转下年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收入总数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支出总数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eastAsia="方正黑体_GBK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185"/>
        <w:gridCol w:w="1417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kern w:val="0"/>
                <w:sz w:val="36"/>
                <w:szCs w:val="36"/>
              </w:rPr>
              <w:t>中共重庆市梁平区委党校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教育支出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487.08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399.08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20508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进修及培训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487.08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399.08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2050802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干部教育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487.08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399.08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91.88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行政事业单位离退休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91.88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2080501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行政单位离退休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31.92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2080502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事业单位离退休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2080505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机关事业单位基本养老保险缴费支出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2080506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机关事业单位职业年金缴费支出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16.44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16.44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抚恤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2080801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死亡抚恤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其他卫生健康管理事务支出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21011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行政事业单位医疗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2101101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行政单位医疗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2101102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事业单位医疗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11.47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11.47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2101199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其他行政事业单位医疗支出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22102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住房改革支出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2210201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住房公积金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542.02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483.26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437.47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107.50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35.62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奖金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45.23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133.88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133.88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32.88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32.88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23.20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1.64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30199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其他工资福利支出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10.90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30205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邮电费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物业管理费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国内差旅费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维修(护)费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1.94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30217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公务接待费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30226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劳务费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2.47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30231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公务用车运行维护费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30239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其他交通费用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9.36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45.79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45.79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30305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生活补助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42.56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42.56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30307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医疗费补助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3.20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0.03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3.00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2.50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0.50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部门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一般公共预算拨款收入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公共安全支出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医疗卫生与计划生育支出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855"/>
        <w:gridCol w:w="1050"/>
        <w:gridCol w:w="735"/>
        <w:gridCol w:w="960"/>
        <w:gridCol w:w="990"/>
        <w:gridCol w:w="1065"/>
        <w:gridCol w:w="960"/>
        <w:gridCol w:w="915"/>
        <w:gridCol w:w="975"/>
        <w:gridCol w:w="900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部门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教育支出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20508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进修及培训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2050802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干部教育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社会保障和就业支出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93.89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93.89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行政事业单位离退休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91.88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行政单位离退休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31.92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事业单位离退休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10.64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机关事业单位基本养老保险缴费支出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32.88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机关事业单位职业年金缴费支出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抚恤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2080801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死亡抚恤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其他卫生健康管理事务支出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行政事业单位医疗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2101101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行政单位医疗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2101102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事业单位医疗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11.47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2101199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其他行政事业单位医疗支出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6.88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住房保障支出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22102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住房改革支出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2210201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住房公积金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567" w:right="1361" w:bottom="567" w:left="1361" w:header="851" w:footer="850" w:gutter="0"/>
          <w:cols w:space="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部门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90.01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教育支出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20508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进修及培训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2050802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干部教育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行政事业单位离退休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行政单位离退休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事业单位离退休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抚恤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2080801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死亡抚恤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2.01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其他卫生健康管理事务支出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行政单位医疗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22102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 xml:space="preserve">  住房改革支出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2210201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住房公积金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24.66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中共重庆市梁平区委党校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备注：本单位无政府采购预算，故此表无数据。</w:t>
      </w:r>
    </w:p>
    <w:p>
      <w:pPr>
        <w:adjustRightInd w:val="0"/>
        <w:snapToGrid w:val="0"/>
        <w:spacing w:line="594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附件3-10</w:t>
      </w:r>
    </w:p>
    <w:tbl>
      <w:tblPr>
        <w:tblStyle w:val="4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909"/>
        <w:gridCol w:w="2469"/>
        <w:gridCol w:w="2469"/>
        <w:gridCol w:w="2469"/>
        <w:gridCol w:w="1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2022年部门预算整体绩效目标表</w:t>
            </w:r>
          </w:p>
          <w:tbl>
            <w:tblPr>
              <w:tblStyle w:val="4"/>
              <w:tblW w:w="2847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865"/>
              <w:gridCol w:w="709"/>
              <w:gridCol w:w="850"/>
              <w:gridCol w:w="1559"/>
              <w:gridCol w:w="1418"/>
              <w:gridCol w:w="1134"/>
              <w:gridCol w:w="1276"/>
              <w:gridCol w:w="1559"/>
              <w:gridCol w:w="1701"/>
              <w:gridCol w:w="1559"/>
              <w:gridCol w:w="1418"/>
              <w:gridCol w:w="1080"/>
              <w:gridCol w:w="915"/>
              <w:gridCol w:w="165"/>
              <w:gridCol w:w="1080"/>
              <w:gridCol w:w="750"/>
              <w:gridCol w:w="1995"/>
              <w:gridCol w:w="1995"/>
              <w:gridCol w:w="1995"/>
              <w:gridCol w:w="1995"/>
              <w:gridCol w:w="199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0"/>
                <w:wAfter w:w="13965" w:type="dxa"/>
                <w:trHeight w:val="443" w:hRule="atLeast"/>
              </w:trPr>
              <w:tc>
                <w:tcPr>
                  <w:tcW w:w="132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0"/>
                <w:wAfter w:w="13965" w:type="dxa"/>
                <w:trHeight w:val="443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0"/>
                <w:wAfter w:w="13965" w:type="dxa"/>
                <w:trHeight w:val="527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632.03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632.03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542.02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90.01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474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ind w:firstLine="440" w:firstLineChars="200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Arial" w:hAnsi="Arial"/>
                      <w:color w:val="000000"/>
                      <w:sz w:val="22"/>
                      <w:szCs w:val="22"/>
                    </w:rPr>
                    <w:t>围绕党的路线方针政策和全区经济社会发展大局，培训党员领导干部、后备干部、公务员和专业技术人员；承办区委、区政府举办的专题研讨班；围绕国际国内出现的新情况新问题，以及全区改革开放和现代化建设进程中的重大理论和现实问题，开展科学研究，培养理论干部，加强理论宣传；按照国家有关法规政策，开展多种形式的干部继续教育。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  <w:tc>
                <w:tcPr>
                  <w:tcW w:w="199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Arial" w:hAnsi="Arial"/>
                      <w:color w:val="000000"/>
                      <w:sz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0"/>
                <w:wAfter w:w="13965" w:type="dxa"/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0"/>
                <w:wAfter w:w="13965" w:type="dxa"/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6"/>
                <w:wAfter w:w="10725" w:type="dxa"/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培训人次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人次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3000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人次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30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6"/>
                <w:wAfter w:w="10725" w:type="dxa"/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培训合格率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98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30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6"/>
                <w:wAfter w:w="10725" w:type="dxa"/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时效指标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培训进度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≤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6"/>
                <w:wAfter w:w="10725" w:type="dxa"/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效益指标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社会效益指标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项目持续发挥作用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100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6"/>
                <w:wAfter w:w="10725" w:type="dxa"/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满意度指标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服务对象满意度指标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培训学员满意率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98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8"/>
                    </w:rPr>
                    <w:t>20</w:t>
                  </w:r>
                </w:p>
              </w:tc>
            </w:tr>
          </w:tbl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1417"/>
        <w:gridCol w:w="80"/>
        <w:gridCol w:w="1196"/>
        <w:gridCol w:w="646"/>
        <w:gridCol w:w="630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中共重庆市梁平区委党校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经常性培训费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等线" w:hAnsi="等线"/>
                <w:color w:val="000000"/>
                <w:sz w:val="20"/>
                <w:szCs w:val="20"/>
              </w:rPr>
              <w:t>干部教育培训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中共重庆市梁平区委党校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邓兴俊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15334591899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围绕党的路线方针政策和全区经济社会发展大局，培训党员领导干部、后备干部、公务员和专业技术人员；承办区委、区政府举办的专题研讨班；围绕国际国内出现的新情况新问题，以及全区改革开放和现代化建设进程中的重大理论和现实问题，开展科学研究，培养理论干部，加强理论宣传；按照国家有关法规政策，开展多种形式的干部继续教育。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培训人次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培训合格率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培训进度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项目持续发挥作用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培训学员满意率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  <w:sectPr>
          <w:headerReference r:id="rId5" w:type="default"/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355"/>
        <w:gridCol w:w="1338"/>
        <w:gridCol w:w="80"/>
        <w:gridCol w:w="1196"/>
        <w:gridCol w:w="646"/>
        <w:gridCol w:w="630"/>
        <w:gridCol w:w="850"/>
        <w:gridCol w:w="1276"/>
        <w:gridCol w:w="363"/>
        <w:gridCol w:w="771"/>
        <w:gridCol w:w="992"/>
        <w:gridCol w:w="80"/>
        <w:gridCol w:w="48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中共重庆市梁平区委党校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邓平寿党性教育基地维护管理费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等线" w:hAnsi="等线"/>
                <w:color w:val="000000"/>
                <w:sz w:val="20"/>
                <w:szCs w:val="20"/>
              </w:rPr>
              <w:t>邓平寿党性教育基地维护管理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中共重庆市梁平区委党校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邓兴俊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15334591899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73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 xml:space="preserve">    实时更新邓平寿党性教育基地场馆内容，保持场馆正常运行。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培训人次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培训合格率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培训进度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项目持续发挥作用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培训学员满意率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355"/>
        <w:gridCol w:w="1338"/>
        <w:gridCol w:w="80"/>
        <w:gridCol w:w="1196"/>
        <w:gridCol w:w="646"/>
        <w:gridCol w:w="630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中共重庆市梁平区委党校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党校分校干教经费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等线" w:hAnsi="等线"/>
                <w:color w:val="000000"/>
                <w:sz w:val="20"/>
                <w:szCs w:val="20"/>
              </w:rPr>
              <w:t>干部教育培训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中共重庆市梁平区委党校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邓兴俊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15334591899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各党校分校以所属地区机关企事业单位的非领导职务干部及村(社区)"两委"成员、组长、骨干党员、入党积极分子为培训对象，以马克思主义特别是中国特色社会主义理论教育、党的基本理论教育为主课，以形势任务教育、法律法规和党风党纪教育、业务知识和技术技能培训为重点内容，围绕全区改革发展和基层实际工作中的重大理论与现实问题，开展教育培训工作，提高党员干部的综合素质。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培训人次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培训合格率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培训进度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项目持续发挥作用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培训学员满意率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等线" w:eastAsia="方正小标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小标宋_GBK" w:hAnsi="等线" w:eastAsia="方正小标宋_GB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hAnsi="等线"/>
                <w:color w:val="000000"/>
                <w:sz w:val="20"/>
                <w:szCs w:val="20"/>
              </w:rPr>
              <w:t>正向指标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40519"/>
    <w:rsid w:val="472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2022-02-23T02:44:00Z</dcterms:created>
  <dc:creator>Administrator</dc:creator>
  <cp:lastModifiedBy>Administrator</cp:lastModifiedBy>
  <dcterms:modified xsi:type="dcterms:W3CDTF">2022-02-23T02:45:36Z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DBECC33D34FF490587908ED8C94C681C</vt:lpwstr>
  </property>
</Properties>
</file>