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eastAsia" w:ascii="方正小标宋_GBK" w:hAnsi="方正小标宋_GBK" w:eastAsia="方正小标宋_GBK" w:cs="方正小标宋_GBK"/>
          <w:b w:val="0"/>
          <w:color w:val="auto"/>
          <w:sz w:val="44"/>
        </w:rPr>
      </w:pPr>
      <w:r>
        <w:rPr>
          <w:rFonts w:hint="eastAsia" w:ascii="方正小标宋_GBK" w:hAnsi="方正小标宋_GBK" w:eastAsia="方正小标宋_GBK" w:cs="方正小标宋_GBK"/>
          <w:b w:val="0"/>
          <w:color w:val="auto"/>
          <w:spacing w:val="15"/>
          <w:sz w:val="44"/>
        </w:rPr>
        <w:t>国务院关于批转发展改革委等部门法人和其他组织统一社会信用代码制度建设总体方案的通知</w:t>
      </w:r>
    </w:p>
    <w:p>
      <w:pPr>
        <w:pStyle w:val="4"/>
        <w:widowControl/>
        <w:spacing w:beforeAutospacing="0" w:afterAutospacing="0" w:line="560" w:lineRule="exact"/>
        <w:jc w:val="center"/>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pacing w:val="15"/>
          <w:sz w:val="32"/>
          <w:szCs w:val="32"/>
        </w:rPr>
        <w:t>国发〔2015〕33号</w:t>
      </w:r>
    </w:p>
    <w:p>
      <w:pPr>
        <w:widowControl/>
        <w:numPr>
          <w:ilvl w:val="0"/>
          <w:numId w:val="2"/>
        </w:numPr>
        <w:spacing w:line="560" w:lineRule="exact"/>
        <w:ind w:left="0"/>
        <w:textAlignment w:val="center"/>
        <w:rPr>
          <w:rFonts w:ascii="微软雅黑" w:hAnsi="微软雅黑" w:eastAsia="微软雅黑" w:cs="微软雅黑"/>
          <w:color w:val="auto"/>
        </w:rPr>
      </w:pPr>
    </w:p>
    <w:p>
      <w:pPr>
        <w:pStyle w:val="14"/>
        <w:widowControl/>
        <w:spacing w:beforeAutospacing="0" w:afterAutospacing="0" w:line="560" w:lineRule="exact"/>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各省、自治区、直辖市人民政府，国务院各部委、各直属机构：</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国务院同意发展改革委、中央编办、民政部、财政部、人民银行、税务总局、工商总局、质检总局制定的《法人和其他组织统一社会信用代码制度建设总体方案》，现转发给你们，请认真贯彻执行。</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560" w:lineRule="exact"/>
        <w:ind w:right="840" w:rightChars="400"/>
        <w:jc w:val="right"/>
        <w:textAlignment w:val="auto"/>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国务院</w:t>
      </w:r>
    </w:p>
    <w:p>
      <w:pPr>
        <w:pStyle w:val="14"/>
        <w:keepNext w:val="0"/>
        <w:keepLines w:val="0"/>
        <w:pageBreakBefore w:val="0"/>
        <w:widowControl/>
        <w:kinsoku/>
        <w:wordWrap/>
        <w:overflowPunct/>
        <w:topLinePunct w:val="0"/>
        <w:autoSpaceDE/>
        <w:autoSpaceDN/>
        <w:bidi w:val="0"/>
        <w:adjustRightInd/>
        <w:snapToGrid/>
        <w:spacing w:beforeAutospacing="0" w:afterAutospacing="0" w:line="560" w:lineRule="exact"/>
        <w:ind w:right="210" w:rightChars="100"/>
        <w:jc w:val="right"/>
        <w:textAlignment w:val="auto"/>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2015年6月11日</w:t>
      </w:r>
    </w:p>
    <w:p>
      <w:pPr>
        <w:pStyle w:val="3"/>
        <w:widowControl/>
        <w:spacing w:beforeAutospacing="0" w:afterAutospacing="0" w:line="560" w:lineRule="exact"/>
        <w:jc w:val="center"/>
        <w:rPr>
          <w:rFonts w:hint="default" w:ascii="Times New Roman" w:hAnsi="Times New Roman" w:eastAsia="方正仿宋_GBK" w:cs="Times New Roman"/>
          <w:b w:val="0"/>
          <w:bCs/>
          <w:color w:val="auto"/>
          <w:sz w:val="32"/>
          <w:szCs w:val="32"/>
        </w:rPr>
        <w:sectPr>
          <w:pgSz w:w="11906" w:h="16838"/>
          <w:pgMar w:top="2098" w:right="1474" w:bottom="1985" w:left="1588" w:header="851" w:footer="992" w:gutter="0"/>
          <w:pgNumType w:fmt="numberInDash"/>
          <w:cols w:space="425" w:num="1"/>
          <w:docGrid w:type="lines" w:linePitch="312" w:charSpace="0"/>
        </w:sectPr>
      </w:pPr>
    </w:p>
    <w:p>
      <w:pPr>
        <w:pStyle w:val="3"/>
        <w:widowControl/>
        <w:spacing w:beforeAutospacing="0" w:afterAutospacing="0" w:line="560" w:lineRule="exact"/>
        <w:jc w:val="center"/>
        <w:rPr>
          <w:rFonts w:hint="eastAsia" w:ascii="方正小标宋_GBK" w:hAnsi="方正小标宋_GBK" w:eastAsia="方正小标宋_GBK" w:cs="方正小标宋_GBK"/>
          <w:b w:val="0"/>
          <w:bCs/>
          <w:color w:val="auto"/>
          <w:sz w:val="44"/>
        </w:rPr>
      </w:pPr>
      <w:r>
        <w:rPr>
          <w:rFonts w:hint="eastAsia" w:ascii="方正小标宋_GBK" w:hAnsi="方正小标宋_GBK" w:eastAsia="方正小标宋_GBK" w:cs="方正小标宋_GBK"/>
          <w:b w:val="0"/>
          <w:bCs/>
          <w:color w:val="auto"/>
          <w:sz w:val="44"/>
        </w:rPr>
        <w:t>法人和其他组织统一社会信用代码制度</w:t>
      </w:r>
    </w:p>
    <w:p>
      <w:pPr>
        <w:pStyle w:val="3"/>
        <w:widowControl/>
        <w:spacing w:beforeAutospacing="0" w:afterAutospacing="0" w:line="560" w:lineRule="exact"/>
        <w:jc w:val="center"/>
        <w:rPr>
          <w:rFonts w:ascii="方正小标宋简体" w:eastAsia="方正小标宋简体"/>
          <w:color w:val="auto"/>
          <w:sz w:val="44"/>
        </w:rPr>
      </w:pPr>
      <w:r>
        <w:rPr>
          <w:rFonts w:hint="eastAsia" w:ascii="方正小标宋_GBK" w:hAnsi="方正小标宋_GBK" w:eastAsia="方正小标宋_GBK" w:cs="方正小标宋_GBK"/>
          <w:b w:val="0"/>
          <w:bCs/>
          <w:color w:val="auto"/>
          <w:sz w:val="44"/>
        </w:rPr>
        <w:t>建设总体方案</w:t>
      </w:r>
    </w:p>
    <w:p>
      <w:pPr>
        <w:pStyle w:val="14"/>
        <w:widowControl/>
        <w:spacing w:beforeAutospacing="0" w:afterAutospacing="0" w:line="560" w:lineRule="exact"/>
        <w:jc w:val="center"/>
        <w:rPr>
          <w:rFonts w:hint="eastAsia" w:ascii="微软雅黑" w:hAnsi="微软雅黑" w:eastAsia="微软雅黑" w:cs="微软雅黑"/>
          <w:color w:val="auto"/>
          <w:spacing w:val="15"/>
          <w:sz w:val="21"/>
          <w:szCs w:val="21"/>
          <w:shd w:val="clear" w:color="auto" w:fill="F6F6F6"/>
        </w:rPr>
      </w:pP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p>
    <w:p>
      <w:pPr>
        <w:pStyle w:val="14"/>
        <w:widowControl/>
        <w:spacing w:beforeAutospacing="0" w:afterAutospacing="0" w:line="560" w:lineRule="exact"/>
        <w:ind w:firstLine="640" w:firstLineChars="200"/>
        <w:outlineLvl w:val="1"/>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一、基本情况</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（一）现有主要机构代码构成。</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1.组织机构代码。</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组织机构代码管理部门编制的组织机构代码共9位，包含本体代码（8位）和校验码（1位）两个部分。</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2.工商注册号。</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工商部门编制的工商注册号共15位，包含首次登记管理机关代码（6位）、顺序码（8位）和校验码（1位）三个部分。</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3.事业单位证书号。</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机构编制部门编制的事业单位证书号共12位，包含举办单位类别（1位）、核准登记的机关（6位）、同一机关辖内不同事业单位（5位）三个部分。</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4.社会组织登记证号。</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民政部门编制的社会组织登记证号是汉字和阿拉伯数字的组合。</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5.机构信用代码。</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人民银行编制的机构信用代码共18位，包含准入登记管理机构类别（1位）、机构类别（2位）、行政区划（6位）、结算账户开户许可证核准号标识位（8位）、校验码（1位）五个部分。</w:t>
      </w:r>
    </w:p>
    <w:p>
      <w:pPr>
        <w:pStyle w:val="14"/>
        <w:widowControl/>
        <w:spacing w:beforeAutospacing="0" w:afterAutospacing="0" w:line="560" w:lineRule="exact"/>
        <w:ind w:firstLine="700" w:firstLineChars="200"/>
        <w:outlineLvl w:val="3"/>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6.纳税人识别号。</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税务部门对已申领组织机构代码的纳税人编制的纳税人识别号共15位，包含行政区划码（6位）和组织机构代码（9位）两个部分。</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（二）现有机构代码存在的主要问题。</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p>
    <w:p>
      <w:pPr>
        <w:pStyle w:val="14"/>
        <w:widowControl/>
        <w:spacing w:beforeAutospacing="0" w:afterAutospacing="0" w:line="560" w:lineRule="exact"/>
        <w:ind w:firstLine="643" w:firstLineChars="200"/>
        <w:outlineLvl w:val="1"/>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二、统一代码设计方案</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（一）基本原则。</w:t>
      </w:r>
    </w:p>
    <w:p>
      <w:pPr>
        <w:pStyle w:val="14"/>
        <w:widowControl/>
        <w:spacing w:beforeAutospacing="0" w:afterAutospacing="0" w:line="560" w:lineRule="exact"/>
        <w:ind w:firstLine="700" w:firstLineChars="200"/>
        <w:rPr>
          <w:rFonts w:hint="eastAsia" w:ascii="方正仿宋_GBK" w:hAnsi="方正仿宋_GBK" w:eastAsia="方正仿宋_GBK" w:cs="方正仿宋_GBK"/>
          <w:b w:val="0"/>
          <w:bCs w:val="0"/>
          <w:color w:val="auto"/>
          <w:spacing w:val="15"/>
          <w:sz w:val="32"/>
          <w:szCs w:val="32"/>
        </w:rPr>
      </w:pPr>
      <w:r>
        <w:rPr>
          <w:rFonts w:hint="eastAsia" w:ascii="方正仿宋_GBK" w:hAnsi="方正仿宋_GBK" w:eastAsia="方正仿宋_GBK" w:cs="方正仿宋_GBK"/>
          <w:b w:val="0"/>
          <w:bCs w:val="0"/>
          <w:color w:val="auto"/>
          <w:spacing w:val="15"/>
          <w:sz w:val="32"/>
          <w:szCs w:val="32"/>
        </w:rPr>
        <w:t>1.兼容并蓄，降低成本。以当前基础较好、应用广泛的组织机构代码为基础，最大限度满足各部门管理需求，降低另建及改造成本，减轻社会负担。</w:t>
      </w:r>
    </w:p>
    <w:p>
      <w:pPr>
        <w:pStyle w:val="14"/>
        <w:widowControl/>
        <w:spacing w:beforeAutospacing="0" w:afterAutospacing="0" w:line="560" w:lineRule="exact"/>
        <w:ind w:firstLine="700" w:firstLineChars="200"/>
        <w:rPr>
          <w:rFonts w:hint="eastAsia" w:ascii="方正仿宋_GBK" w:hAnsi="方正仿宋_GBK" w:eastAsia="方正仿宋_GBK" w:cs="方正仿宋_GBK"/>
          <w:b w:val="0"/>
          <w:bCs w:val="0"/>
          <w:color w:val="auto"/>
          <w:spacing w:val="15"/>
          <w:sz w:val="32"/>
          <w:szCs w:val="32"/>
        </w:rPr>
      </w:pPr>
      <w:r>
        <w:rPr>
          <w:rFonts w:hint="eastAsia" w:ascii="方正仿宋_GBK" w:hAnsi="方正仿宋_GBK" w:eastAsia="方正仿宋_GBK" w:cs="方正仿宋_GBK"/>
          <w:b w:val="0"/>
          <w:bCs w:val="0"/>
          <w:color w:val="auto"/>
          <w:spacing w:val="15"/>
          <w:sz w:val="32"/>
          <w:szCs w:val="32"/>
        </w:rPr>
        <w:t>2.统一标准，分步实施。制定统一代码制度建设相关标准，确定代码位数和构成。设立过渡期，实现现有各类机构代码逐步向统一代码过渡。</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eastAsia" w:ascii="方正仿宋_GBK" w:hAnsi="方正仿宋_GBK" w:eastAsia="方正仿宋_GBK" w:cs="方正仿宋_GBK"/>
          <w:b w:val="0"/>
          <w:bCs w:val="0"/>
          <w:color w:val="auto"/>
          <w:spacing w:val="15"/>
          <w:sz w:val="32"/>
          <w:szCs w:val="32"/>
        </w:rPr>
        <w:t>3.立足当前，着眼长远。以满足需求、便利管理为导向，制定适合当前各部门兼容使用的编码规则，为将来各部门之间信息共享和业务协同打好基础。</w:t>
      </w:r>
    </w:p>
    <w:p>
      <w:pPr>
        <w:pStyle w:val="14"/>
        <w:widowControl/>
        <w:spacing w:beforeAutospacing="0" w:afterAutospacing="0" w:line="560" w:lineRule="exact"/>
        <w:ind w:firstLine="700" w:firstLineChars="200"/>
        <w:outlineLvl w:val="2"/>
        <w:rPr>
          <w:rFonts w:hint="default" w:ascii="Times New Roman" w:hAnsi="Times New Roman" w:eastAsia="方正仿宋_GBK" w:cs="Times New Roman"/>
          <w:b/>
          <w:bCs/>
          <w:color w:val="auto"/>
          <w:spacing w:val="15"/>
          <w:sz w:val="32"/>
          <w:szCs w:val="32"/>
        </w:rPr>
      </w:pPr>
      <w:r>
        <w:rPr>
          <w:rFonts w:hint="eastAsia" w:ascii="方正楷体_GBK" w:hAnsi="方正楷体_GBK" w:eastAsia="方正楷体_GBK" w:cs="方正楷体_GBK"/>
          <w:b w:val="0"/>
          <w:bCs w:val="0"/>
          <w:color w:val="auto"/>
          <w:spacing w:val="15"/>
          <w:sz w:val="32"/>
          <w:szCs w:val="32"/>
        </w:rPr>
        <w:t>（二）统一代码构成。</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第一部分（第1位）：登记管理部门代码，使用阿拉伯数字或英文字母表示。例如，机构编制、民政、工商三个登记管理部门分别使用1、2、3表示，其他登记管理部门可使用相应阿拉伯数字或英文字母表示。</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第二部分（第2位）：机构类别代码，使用阿拉伯数字或英文字母表示。登记管理部门根据管理职能，确定在本部门登记的机构类别编码。例如，机构编制部门可用1表示机关单位，2表示事业单位，3表示由中央编办直接管理机构编制的群众团体；民政部门可用1表示社会团体，2表示民办非企业单位，3表示基金会；工商部门可用1表示企业，2表示个体工商户，3表示农民专业合作社。</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第四部分（第9—17位）：主体标识码（组织机构代码），使用阿拉伯数字或英文字母表示。（参照《全国组织机构代码编制规则》〔GB 11714—1997〕）</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第五部分（第18位）：校验码，使用阿拉伯数字或英文字母表示。</w:t>
      </w:r>
    </w:p>
    <w:p>
      <w:pPr>
        <w:pStyle w:val="14"/>
        <w:widowControl/>
        <w:spacing w:beforeAutospacing="0" w:afterAutospacing="0" w:line="560" w:lineRule="exact"/>
        <w:ind w:firstLine="700" w:firstLineChars="200"/>
        <w:outlineLvl w:val="2"/>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（三）统一代码的主要特性。</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1.唯一性。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2.兼容性。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3.稳定性。统一代码一经赋予，在其主体存续期间，主体信息即使发生任何变化，统一代码均保持不变。例如，法人和其他组织迁徙或变更法定代表人、经营范围等，均不改变其统一代码。</w:t>
      </w:r>
    </w:p>
    <w:p>
      <w:pPr>
        <w:pStyle w:val="14"/>
        <w:widowControl/>
        <w:spacing w:beforeAutospacing="0" w:afterAutospacing="0" w:line="560" w:lineRule="exact"/>
        <w:ind w:firstLine="700" w:firstLineChars="200"/>
        <w:rPr>
          <w:rFonts w:hint="default" w:ascii="Times New Roman" w:hAnsi="Times New Roman" w:eastAsia="方正仿宋_GBK" w:cs="Times New Roman"/>
          <w:b w:val="0"/>
          <w:bCs w:val="0"/>
          <w:color w:val="auto"/>
          <w:spacing w:val="15"/>
          <w:sz w:val="32"/>
          <w:szCs w:val="32"/>
        </w:rPr>
      </w:pPr>
      <w:r>
        <w:rPr>
          <w:rFonts w:hint="default" w:ascii="Times New Roman" w:hAnsi="Times New Roman" w:eastAsia="方正仿宋_GBK" w:cs="Times New Roman"/>
          <w:b w:val="0"/>
          <w:bCs w:val="0"/>
          <w:color w:val="auto"/>
          <w:spacing w:val="15"/>
          <w:sz w:val="32"/>
          <w:szCs w:val="32"/>
        </w:rPr>
        <w:t>4.全覆盖。统一代码制度实施后，对新设立的法人和其他组织，在注册登记时发放统一代码；对已设立的法人和其他组织，通过适当方式换发统一代码，实现对法人和其他组织全覆盖。</w:t>
      </w:r>
    </w:p>
    <w:p>
      <w:pPr>
        <w:pStyle w:val="14"/>
        <w:widowControl/>
        <w:spacing w:beforeAutospacing="0" w:afterAutospacing="0" w:line="560" w:lineRule="exact"/>
        <w:ind w:firstLine="640" w:firstLineChars="200"/>
        <w:outlineLvl w:val="1"/>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三、统一代码制度改革方案</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（一）明晰权责，加强协同。</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（二）源头赋码，全面覆盖。</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（三）预赋码段，回传信息。</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统一代码中的9位主体标识码由组织机构代码管理部门先按5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p>
    <w:p>
      <w:pPr>
        <w:pStyle w:val="14"/>
        <w:widowControl/>
        <w:spacing w:beforeAutospacing="0" w:afterAutospacing="0" w:line="560" w:lineRule="exact"/>
        <w:ind w:firstLine="700" w:firstLineChars="200"/>
        <w:outlineLvl w:val="2"/>
        <w:rPr>
          <w:rFonts w:hint="eastAsia" w:ascii="方正楷体_GBK" w:hAnsi="方正楷体_GBK" w:eastAsia="方正楷体_GBK" w:cs="方正楷体_GBK"/>
          <w:b w:val="0"/>
          <w:bCs w:val="0"/>
          <w:color w:val="auto"/>
          <w:spacing w:val="15"/>
          <w:sz w:val="32"/>
          <w:szCs w:val="32"/>
        </w:rPr>
      </w:pPr>
      <w:r>
        <w:rPr>
          <w:rFonts w:hint="eastAsia" w:ascii="方正楷体_GBK" w:hAnsi="方正楷体_GBK" w:eastAsia="方正楷体_GBK" w:cs="方正楷体_GBK"/>
          <w:b w:val="0"/>
          <w:bCs w:val="0"/>
          <w:color w:val="auto"/>
          <w:spacing w:val="15"/>
          <w:sz w:val="32"/>
          <w:szCs w:val="32"/>
        </w:rPr>
        <w:t>（四）平稳过渡，有序推进。</w:t>
      </w:r>
    </w:p>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p>
    <w:p>
      <w:pPr>
        <w:pStyle w:val="14"/>
        <w:widowControl/>
        <w:spacing w:beforeAutospacing="0" w:afterAutospacing="0" w:line="560" w:lineRule="exact"/>
        <w:ind w:firstLine="640" w:firstLineChars="200"/>
        <w:outlineLvl w:val="1"/>
        <w:rPr>
          <w:rFonts w:hint="eastAsia" w:ascii="方正黑体_GBK" w:hAnsi="方正黑体_GBK" w:eastAsia="方正黑体_GBK" w:cs="方正黑体_GBK"/>
          <w:color w:val="auto"/>
          <w:sz w:val="32"/>
          <w:szCs w:val="32"/>
        </w:rPr>
      </w:pPr>
      <w:bookmarkStart w:id="0" w:name="_GoBack"/>
      <w:r>
        <w:rPr>
          <w:rFonts w:hint="eastAsia" w:ascii="方正黑体_GBK" w:hAnsi="方正黑体_GBK" w:eastAsia="方正黑体_GBK" w:cs="方正黑体_GBK"/>
          <w:color w:val="auto"/>
          <w:sz w:val="32"/>
          <w:szCs w:val="32"/>
        </w:rPr>
        <w:t>四、组织实施</w:t>
      </w:r>
    </w:p>
    <w:bookmarkEnd w:id="0"/>
    <w:p>
      <w:pPr>
        <w:pStyle w:val="14"/>
        <w:widowControl/>
        <w:spacing w:beforeAutospacing="0" w:afterAutospacing="0" w:line="560" w:lineRule="exact"/>
        <w:ind w:firstLine="700" w:firstLineChars="200"/>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pacing w:val="15"/>
          <w:sz w:val="32"/>
          <w:szCs w:val="32"/>
        </w:rPr>
        <w:t>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pStyle w:val="14"/>
        <w:widowControl/>
        <w:spacing w:beforeAutospacing="0" w:afterAutospacing="0" w:line="560" w:lineRule="exact"/>
        <w:ind w:firstLine="690"/>
        <w:rPr>
          <w:rFonts w:hint="default" w:ascii="Times New Roman" w:hAnsi="Times New Roman" w:eastAsia="方正仿宋_GBK" w:cs="Times New Roman"/>
          <w:color w:val="auto"/>
          <w:spacing w:val="15"/>
          <w:sz w:val="32"/>
          <w:szCs w:val="32"/>
        </w:rPr>
      </w:pPr>
    </w:p>
    <w:p>
      <w:pPr>
        <w:pStyle w:val="14"/>
        <w:widowControl/>
        <w:spacing w:beforeAutospacing="0" w:afterAutospacing="0" w:line="560" w:lineRule="exact"/>
        <w:ind w:firstLine="690"/>
        <w:rPr>
          <w:rFonts w:hint="eastAsia" w:ascii="仿宋_GB2312" w:hAnsi="微软雅黑" w:eastAsia="仿宋_GB2312" w:cs="微软雅黑"/>
          <w:color w:val="auto"/>
          <w:spacing w:val="15"/>
          <w:sz w:val="32"/>
          <w:szCs w:val="32"/>
        </w:rPr>
      </w:pPr>
    </w:p>
    <w:p>
      <w:pPr>
        <w:pStyle w:val="14"/>
        <w:widowControl/>
        <w:spacing w:beforeAutospacing="0" w:afterAutospacing="0" w:line="560" w:lineRule="exact"/>
        <w:rPr>
          <w:rStyle w:val="17"/>
          <w:rFonts w:hint="eastAsia" w:ascii="黑体" w:hAnsi="黑体" w:eastAsia="黑体" w:cs="微软雅黑"/>
          <w:b w:val="0"/>
          <w:bCs w:val="0"/>
          <w:color w:val="auto"/>
          <w:spacing w:val="15"/>
          <w:sz w:val="32"/>
          <w:szCs w:val="32"/>
        </w:rPr>
      </w:pPr>
    </w:p>
    <w:p>
      <w:pPr>
        <w:pStyle w:val="14"/>
        <w:widowControl/>
        <w:spacing w:beforeAutospacing="0" w:afterAutospacing="0" w:line="560" w:lineRule="exact"/>
        <w:rPr>
          <w:rStyle w:val="17"/>
          <w:rFonts w:hint="eastAsia" w:ascii="黑体" w:hAnsi="黑体" w:eastAsia="黑体" w:cs="微软雅黑"/>
          <w:b w:val="0"/>
          <w:bCs w:val="0"/>
          <w:color w:val="auto"/>
          <w:spacing w:val="15"/>
          <w:sz w:val="32"/>
          <w:szCs w:val="32"/>
        </w:rPr>
      </w:pPr>
    </w:p>
    <w:p>
      <w:pPr>
        <w:pStyle w:val="14"/>
        <w:widowControl/>
        <w:spacing w:beforeAutospacing="0" w:afterAutospacing="0" w:line="560" w:lineRule="exact"/>
        <w:rPr>
          <w:rStyle w:val="17"/>
          <w:rFonts w:hint="eastAsia" w:ascii="黑体" w:hAnsi="黑体" w:eastAsia="黑体" w:cs="微软雅黑"/>
          <w:b w:val="0"/>
          <w:bCs w:val="0"/>
          <w:color w:val="auto"/>
          <w:spacing w:val="15"/>
          <w:sz w:val="32"/>
          <w:szCs w:val="32"/>
        </w:rPr>
      </w:pPr>
    </w:p>
    <w:p>
      <w:pPr>
        <w:pStyle w:val="14"/>
        <w:widowControl/>
        <w:spacing w:beforeAutospacing="0" w:afterAutospacing="0" w:line="560" w:lineRule="exact"/>
        <w:rPr>
          <w:rStyle w:val="17"/>
          <w:rFonts w:hint="eastAsia" w:ascii="黑体" w:hAnsi="黑体" w:eastAsia="黑体" w:cs="微软雅黑"/>
          <w:b w:val="0"/>
          <w:bCs w:val="0"/>
          <w:color w:val="auto"/>
          <w:spacing w:val="15"/>
          <w:sz w:val="32"/>
          <w:szCs w:val="32"/>
        </w:rPr>
      </w:pPr>
    </w:p>
    <w:p>
      <w:pPr>
        <w:pStyle w:val="14"/>
        <w:widowControl/>
        <w:spacing w:beforeAutospacing="0" w:afterAutospacing="0" w:line="560" w:lineRule="exact"/>
        <w:rPr>
          <w:rFonts w:ascii="黑体" w:hAnsi="黑体" w:eastAsia="黑体" w:cs="微软雅黑"/>
          <w:b w:val="0"/>
          <w:bCs w:val="0"/>
          <w:color w:val="auto"/>
          <w:sz w:val="32"/>
          <w:szCs w:val="32"/>
        </w:rPr>
      </w:pPr>
      <w:r>
        <w:rPr>
          <w:rFonts w:hint="eastAsia" w:ascii="黑体" w:hAnsi="黑体" w:eastAsia="黑体" w:cs="微软雅黑"/>
          <w:b w:val="0"/>
          <w:bCs w:val="0"/>
          <w:color w:val="auto"/>
          <w:spacing w:val="15"/>
          <w:sz w:val="32"/>
          <w:szCs w:val="32"/>
        </w:rPr>
        <w:drawing>
          <wp:anchor distT="0" distB="0" distL="114300" distR="114300" simplePos="0" relativeHeight="251660288" behindDoc="0" locked="0" layoutInCell="1" allowOverlap="1">
            <wp:simplePos x="0" y="0"/>
            <wp:positionH relativeFrom="column">
              <wp:posOffset>-303530</wp:posOffset>
            </wp:positionH>
            <wp:positionV relativeFrom="paragraph">
              <wp:posOffset>594995</wp:posOffset>
            </wp:positionV>
            <wp:extent cx="6410325" cy="3771900"/>
            <wp:effectExtent l="0" t="0" r="9525" b="0"/>
            <wp:wrapTopAndBottom/>
            <wp:docPr id="1" name="图片 1" descr="fec96ce9-47e1-4ecf-8656-f3031b9708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c96ce9-47e1-4ecf-8656-f3031b97080a.jp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10325" cy="3771900"/>
                    </a:xfrm>
                    <a:prstGeom prst="rect">
                      <a:avLst/>
                    </a:prstGeom>
                    <a:noFill/>
                    <a:ln w="9525">
                      <a:noFill/>
                    </a:ln>
                  </pic:spPr>
                </pic:pic>
              </a:graphicData>
            </a:graphic>
          </wp:anchor>
        </w:drawing>
      </w:r>
      <w:r>
        <w:rPr>
          <w:rStyle w:val="17"/>
          <w:rFonts w:hint="eastAsia" w:ascii="黑体" w:hAnsi="黑体" w:eastAsia="黑体" w:cs="微软雅黑"/>
          <w:b w:val="0"/>
          <w:bCs w:val="0"/>
          <w:color w:val="auto"/>
          <w:spacing w:val="15"/>
          <w:sz w:val="32"/>
          <w:szCs w:val="32"/>
        </w:rPr>
        <w:t>附件：</w:t>
      </w:r>
    </w:p>
    <w:p>
      <w:pPr>
        <w:pStyle w:val="14"/>
        <w:widowControl/>
        <w:spacing w:beforeAutospacing="0" w:afterAutospacing="0"/>
        <w:jc w:val="center"/>
        <w:rPr>
          <w:rFonts w:hint="eastAsia" w:ascii="微软雅黑" w:hAnsi="微软雅黑" w:eastAsia="微软雅黑" w:cs="微软雅黑"/>
          <w:color w:val="auto"/>
          <w:sz w:val="21"/>
          <w:szCs w:val="21"/>
          <w:lang w:val="en-US" w:eastAsia="zh-CN"/>
        </w:rPr>
      </w:pP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新舒体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CDF51"/>
    <w:multiLevelType w:val="multilevel"/>
    <w:tmpl w:val="1FCCDF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F86C25E"/>
    <w:multiLevelType w:val="multilevel"/>
    <w:tmpl w:val="4F86C25E"/>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mE4ZmY4OTQ0ODAwZjYxMjgyMTgzNWQ4MjFlNGMifQ=="/>
  </w:docVars>
  <w:rsids>
    <w:rsidRoot w:val="007746A1"/>
    <w:rsid w:val="007746A1"/>
    <w:rsid w:val="00896FBC"/>
    <w:rsid w:val="00B30EBC"/>
    <w:rsid w:val="00BC25CE"/>
    <w:rsid w:val="023253BA"/>
    <w:rsid w:val="202A522A"/>
    <w:rsid w:val="37FE5CE4"/>
    <w:rsid w:val="3A6D2E9F"/>
    <w:rsid w:val="497D4438"/>
    <w:rsid w:val="546E472E"/>
    <w:rsid w:val="63DD5BCD"/>
    <w:rsid w:val="6C9F47C0"/>
    <w:rsid w:val="73A66BB8"/>
    <w:rsid w:val="B3BBC5EA"/>
    <w:rsid w:val="F7FF1C72"/>
    <w:rsid w:val="FD5FA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before="340" w:after="330" w:line="576" w:lineRule="auto"/>
      <w:outlineLvl w:val="0"/>
    </w:pPr>
    <w:rPr>
      <w:rFonts w:ascii="Calibri" w:hAnsi="Calibri" w:eastAsia="宋体" w:cstheme="minorBidi"/>
      <w:b/>
      <w:kern w:val="44"/>
      <w:sz w:val="4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9"/>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next w:val="1"/>
    <w:semiHidden/>
    <w:unhideWhenUsed/>
    <w:qFormat/>
    <w:uiPriority w:val="0"/>
    <w:pPr>
      <w:keepNext/>
      <w:keepLines/>
      <w:numPr>
        <w:ilvl w:val="3"/>
        <w:numId w:val="1"/>
      </w:numPr>
      <w:spacing w:before="280" w:after="290" w:line="372" w:lineRule="auto"/>
      <w:outlineLvl w:val="3"/>
    </w:pPr>
    <w:rPr>
      <w:rFonts w:ascii="Arial" w:hAnsi="Arial" w:eastAsia="黑体" w:cstheme="minorBidi"/>
      <w:b/>
      <w:sz w:val="24"/>
      <w:lang w:val="en-US" w:eastAsia="zh-CN" w:bidi="ar-SA"/>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20"/>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character" w:styleId="18">
    <w:name w:val="Emphasis"/>
    <w:basedOn w:val="16"/>
    <w:qFormat/>
    <w:uiPriority w:val="0"/>
    <w:rPr>
      <w:i/>
    </w:rPr>
  </w:style>
  <w:style w:type="character" w:customStyle="1" w:styleId="19">
    <w:name w:val="标题 3 字符"/>
    <w:link w:val="4"/>
    <w:qFormat/>
    <w:uiPriority w:val="0"/>
    <w:rPr>
      <w:rFonts w:ascii="Calibri" w:hAnsi="Calibri" w:eastAsia="黑体"/>
      <w:b/>
      <w:sz w:val="32"/>
    </w:rPr>
  </w:style>
  <w:style w:type="character" w:customStyle="1" w:styleId="20">
    <w:name w:val="日期 字符"/>
    <w:basedOn w:val="16"/>
    <w:link w:val="11"/>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4073</Words>
  <Characters>4145</Characters>
  <Lines>30</Lines>
  <Paragraphs>8</Paragraphs>
  <TotalTime>11</TotalTime>
  <ScaleCrop>false</ScaleCrop>
  <LinksUpToDate>false</LinksUpToDate>
  <CharactersWithSpaces>4147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jin</dc:creator>
  <cp:lastModifiedBy>下个世纪末</cp:lastModifiedBy>
  <cp:lastPrinted>2022-08-29T14:53:00Z</cp:lastPrinted>
  <dcterms:modified xsi:type="dcterms:W3CDTF">2023-06-20T05:12:30Z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A5A2A0FFFC944A26952E045D1A96D45F_12</vt:lpwstr>
  </property>
</Properties>
</file>