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textAlignment w:val="auto"/>
        <w:outlineLvl w:val="9"/>
        <w:rPr>
          <w:rFonts w:hint="eastAsia" w:ascii="方正小标宋_GBK" w:hAnsi="方正小标宋_GBK" w:eastAsia="方正小标宋_GBK" w:cs="方正小标宋_GBK"/>
          <w:b w:val="0"/>
          <w:bCs w:val="0"/>
          <w:color w:val="auto"/>
          <w:spacing w:val="15"/>
          <w:kern w:val="0"/>
          <w:sz w:val="44"/>
          <w:szCs w:val="44"/>
        </w:rPr>
      </w:pPr>
      <w:r>
        <w:rPr>
          <w:rFonts w:hint="eastAsia" w:ascii="方正小标宋_GBK" w:hAnsi="方正小标宋_GBK" w:eastAsia="方正小标宋_GBK" w:cs="方正小标宋_GBK"/>
          <w:b w:val="0"/>
          <w:bCs w:val="0"/>
          <w:color w:val="auto"/>
          <w:spacing w:val="15"/>
          <w:kern w:val="0"/>
          <w:sz w:val="44"/>
          <w:szCs w:val="44"/>
        </w:rPr>
        <w:t>国务院关于建立完善守信联合激励和失信联合惩戒制度加快推进社会诚信建设的</w:t>
      </w:r>
    </w:p>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textAlignment w:val="auto"/>
        <w:outlineLvl w:val="9"/>
        <w:rPr>
          <w:rFonts w:hint="eastAsia" w:ascii="方正小标宋_GBK" w:hAnsi="方正小标宋_GBK" w:eastAsia="方正小标宋_GBK" w:cs="方正小标宋_GBK"/>
          <w:b w:val="0"/>
          <w:bCs w:val="0"/>
          <w:color w:val="auto"/>
          <w:spacing w:val="15"/>
          <w:kern w:val="0"/>
          <w:sz w:val="44"/>
          <w:szCs w:val="44"/>
        </w:rPr>
      </w:pPr>
      <w:r>
        <w:rPr>
          <w:rFonts w:hint="eastAsia" w:ascii="方正小标宋_GBK" w:hAnsi="方正小标宋_GBK" w:eastAsia="方正小标宋_GBK" w:cs="方正小标宋_GBK"/>
          <w:b w:val="0"/>
          <w:bCs w:val="0"/>
          <w:color w:val="auto"/>
          <w:spacing w:val="15"/>
          <w:kern w:val="0"/>
          <w:sz w:val="44"/>
          <w:szCs w:val="44"/>
        </w:rPr>
        <w:t>指导意见</w:t>
      </w:r>
    </w:p>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textAlignment w:val="auto"/>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国发〔2016〕33号</w:t>
      </w:r>
    </w:p>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left"/>
        <w:textAlignment w:val="auto"/>
        <w:outlineLvl w:val="9"/>
        <w:rPr>
          <w:rFonts w:hint="default" w:ascii="Times New Roman" w:hAnsi="Times New Roman" w:eastAsia="方正仿宋_GBK" w:cs="Times New Roman"/>
          <w:b/>
          <w:bCs/>
          <w:color w:val="auto"/>
          <w:spacing w:val="15"/>
          <w:kern w:val="0"/>
          <w:sz w:val="32"/>
          <w:szCs w:val="32"/>
        </w:rPr>
      </w:pPr>
    </w:p>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left"/>
        <w:textAlignment w:val="auto"/>
        <w:outlineLvl w:val="9"/>
        <w:rPr>
          <w:rFonts w:hint="default" w:ascii="Times New Roman" w:hAnsi="Times New Roman" w:eastAsia="方正仿宋_GBK" w:cs="Times New Roman"/>
          <w:color w:val="auto"/>
          <w:spacing w:val="15"/>
          <w:kern w:val="0"/>
          <w:sz w:val="32"/>
          <w:szCs w:val="32"/>
          <w:lang w:val="en"/>
        </w:rPr>
      </w:pPr>
      <w:r>
        <w:rPr>
          <w:rFonts w:hint="default" w:ascii="Times New Roman" w:hAnsi="Times New Roman" w:eastAsia="方正仿宋_GBK" w:cs="Times New Roman"/>
          <w:color w:val="auto"/>
          <w:spacing w:val="15"/>
          <w:kern w:val="0"/>
          <w:sz w:val="32"/>
          <w:szCs w:val="32"/>
        </w:rPr>
        <w:t>各省、自治区、直辖市人民政府，国务院各部委、各直属机构：</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color w:val="auto"/>
          <w:spacing w:val="15"/>
          <w:kern w:val="0"/>
          <w:sz w:val="32"/>
          <w:szCs w:val="32"/>
          <w:lang w:val="en"/>
        </w:rPr>
      </w:pPr>
      <w:r>
        <w:rPr>
          <w:rFonts w:hint="default" w:ascii="Times New Roman" w:hAnsi="Times New Roman" w:eastAsia="方正仿宋_GBK" w:cs="Times New Roman"/>
          <w:color w:val="auto"/>
          <w:spacing w:val="15"/>
          <w:kern w:val="0"/>
          <w:sz w:val="32"/>
          <w:szCs w:val="32"/>
        </w:rPr>
        <w:t>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一、总体要求</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（一）指导思想。</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（二）基本原则。</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——褒扬诚信，惩戒失信。充分运用信用激励和约束手段，加大对诚信主体激励和对严重失信主体惩戒力度，让守信者受益、失信者受限，形成褒扬诚信、惩戒失信的制度机制。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部门联动，社会协同。通过信用信息公开和共享，建立跨地区、跨部门、跨领域的联合激励与惩戒机制，形成政府部门协同联动、行业组织自律管理、信用服务机构积极参与、社会舆论广泛监督的共同治理格局。</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——依法依规，保护权益。严格依照法律法规和政策规定，科学界定守信和失信行为，开展守信联合激励和失信联合惩戒。建立健全信用修复、异议申诉等机制，保护当事人合法权益。</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突出重点，统筹推进。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二、健全褒扬和激励诚信行为机制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三）多渠道选树诚信典型。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诚信模范的良好氛围。</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四）探索建立行政审批“绿色通道”。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六）优化诚信企业行政监管安排。各级市场监管部门应根据监管对象的信用记录和信用评价分类，注重运用大数据手段，完善事中事后监管措施，为市场主体提供便利化服务。对符合一定条件的诚信企业，在日常检查、专项检查中优化检查频次。</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七）降低市场交易成本。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三、健全约束和惩戒失信行为机制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九）对重点领域和严重失信行为实施联合惩戒。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二）加强对失信行为的行业性约束和惩戒。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三）加强对失信行为的社会性约束和惩戒。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四、构建守信联合激励和失信联合惩戒协同机制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十五）建立触发反馈机制。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六）实施部省协同和跨区域联动。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七）建立健全信用信息公示机制。推动政务信用信息公开，全面落实行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八）建立健全信用信息归集共享和使用机制。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十九）规范信用红黑名单制度。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二十）建立激励和惩戒措施清单制度。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二十一）建立健全信用修复机制。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修复个人信用。</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二十二）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二十三）建立跟踪问效机制。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五、加强法规制度和诚信文化建设</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二十四）完善相关法律法规。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二十五）建立健全标准规范。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二十六）加强诚信教育和诚信文化建设。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二十七）加强组织实施和督促检查。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rPr>
      </w:pP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outlineLvl w:val="9"/>
        <w:rPr>
          <w:rFonts w:hint="default" w:ascii="Times New Roman" w:hAnsi="Times New Roman" w:eastAsia="方正仿宋_GBK" w:cs="Times New Roman"/>
          <w:b w:val="0"/>
          <w:bCs w:val="0"/>
          <w:color w:val="auto"/>
          <w:spacing w:val="15"/>
          <w:kern w:val="0"/>
          <w:sz w:val="32"/>
          <w:szCs w:val="32"/>
        </w:rPr>
      </w:pPr>
    </w:p>
    <w:p>
      <w:pPr>
        <w:keepNext w:val="0"/>
        <w:keepLines w:val="0"/>
        <w:pageBreakBefore w:val="0"/>
        <w:widowControl/>
        <w:kinsoku/>
        <w:wordWrap/>
        <w:overflowPunct/>
        <w:topLinePunct w:val="0"/>
        <w:autoSpaceDE/>
        <w:autoSpaceDN/>
        <w:bidi w:val="0"/>
        <w:adjustRightInd/>
        <w:snapToGrid/>
        <w:spacing w:before="0" w:beforeLines="0" w:line="560" w:lineRule="exact"/>
        <w:ind w:right="1120" w:rightChars="400" w:firstLine="700" w:firstLineChars="200"/>
        <w:jc w:val="center"/>
        <w:textAlignment w:val="auto"/>
        <w:outlineLvl w:val="9"/>
        <w:rPr>
          <w:rFonts w:hint="default" w:ascii="Times New Roman" w:hAnsi="Times New Roman" w:eastAsia="方正仿宋_GBK" w:cs="Times New Roman"/>
          <w:b w:val="0"/>
          <w:bCs w:val="0"/>
          <w:color w:val="auto"/>
          <w:spacing w:val="15"/>
          <w:kern w:val="0"/>
          <w:sz w:val="32"/>
          <w:szCs w:val="32"/>
        </w:rPr>
      </w:pPr>
      <w:r>
        <w:rPr>
          <w:rFonts w:hint="eastAsia" w:ascii="Times New Roman" w:hAnsi="Times New Roman" w:eastAsia="方正仿宋_GBK" w:cs="Times New Roman"/>
          <w:b w:val="0"/>
          <w:bCs w:val="0"/>
          <w:color w:val="auto"/>
          <w:spacing w:val="15"/>
          <w:kern w:val="0"/>
          <w:sz w:val="32"/>
          <w:szCs w:val="32"/>
          <w:lang w:val="en-US" w:eastAsia="zh-CN"/>
        </w:rPr>
        <w:t xml:space="preserve">                            </w:t>
      </w:r>
      <w:r>
        <w:rPr>
          <w:rFonts w:hint="default" w:ascii="Times New Roman" w:hAnsi="Times New Roman" w:eastAsia="方正仿宋_GBK" w:cs="Times New Roman"/>
          <w:b w:val="0"/>
          <w:bCs w:val="0"/>
          <w:color w:val="auto"/>
          <w:spacing w:val="15"/>
          <w:kern w:val="0"/>
          <w:sz w:val="32"/>
          <w:szCs w:val="32"/>
        </w:rPr>
        <w:t>国务院</w:t>
      </w:r>
    </w:p>
    <w:p>
      <w:pPr>
        <w:keepNext w:val="0"/>
        <w:keepLines w:val="0"/>
        <w:pageBreakBefore w:val="0"/>
        <w:widowControl/>
        <w:kinsoku/>
        <w:wordWrap/>
        <w:overflowPunct/>
        <w:topLinePunct w:val="0"/>
        <w:autoSpaceDE/>
        <w:autoSpaceDN/>
        <w:bidi w:val="0"/>
        <w:adjustRightInd/>
        <w:snapToGrid/>
        <w:spacing w:before="0" w:beforeLines="0" w:line="560" w:lineRule="exact"/>
        <w:ind w:right="420" w:rightChars="150" w:firstLine="700" w:firstLineChars="200"/>
        <w:jc w:val="right"/>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val="0"/>
          <w:bCs w:val="0"/>
          <w:color w:val="auto"/>
          <w:spacing w:val="15"/>
          <w:kern w:val="0"/>
          <w:sz w:val="32"/>
          <w:szCs w:val="32"/>
        </w:rPr>
        <w:t>2016年5月</w:t>
      </w:r>
      <w:r>
        <w:rPr>
          <w:rFonts w:hint="default" w:ascii="Times New Roman" w:hAnsi="Times New Roman" w:eastAsia="方正仿宋_GBK" w:cs="Times New Roman"/>
          <w:color w:val="auto"/>
          <w:spacing w:val="15"/>
          <w:kern w:val="0"/>
          <w:sz w:val="32"/>
          <w:szCs w:val="32"/>
        </w:rPr>
        <w:t>30</w:t>
      </w:r>
      <w:bookmarkStart w:id="0" w:name="_GoBack"/>
      <w:bookmarkEnd w:id="0"/>
      <w:r>
        <w:rPr>
          <w:rFonts w:hint="default" w:ascii="Times New Roman" w:hAnsi="Times New Roman" w:eastAsia="方正仿宋_GBK" w:cs="Times New Roman"/>
          <w:color w:val="auto"/>
          <w:spacing w:val="15"/>
          <w:kern w:val="0"/>
          <w:sz w:val="32"/>
          <w:szCs w:val="32"/>
        </w:rPr>
        <w:t>日</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gency FB">
    <w:panose1 w:val="020B0503020202020204"/>
    <w:charset w:val="00"/>
    <w:family w:val="swiss"/>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mp;quot">
    <w:altName w:val="Segoe Print"/>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宋三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before="0" w:beforeLines="0"/>
                            <w:ind w:left="280" w:leftChars="100" w:right="280" w:rightChars="100" w:firstLine="0" w:firstLineChars="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before="0" w:beforeLines="0"/>
                      <w:ind w:left="280" w:leftChars="100" w:right="280" w:rightChars="100" w:firstLine="0" w:firstLineChars="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560"/>
      </w:pPr>
      <w:r>
        <w:separator/>
      </w:r>
    </w:p>
  </w:footnote>
  <w:footnote w:type="continuationSeparator" w:id="1">
    <w:p>
      <w:pPr>
        <w:spacing w:before="0" w:after="0"/>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MmE4ZmY4OTQ0ODAwZjYxMjgyMTgzNWQ4MjFlNGMifQ=="/>
  </w:docVars>
  <w:rsids>
    <w:rsidRoot w:val="00570DE2"/>
    <w:rsid w:val="00113C2A"/>
    <w:rsid w:val="005314A3"/>
    <w:rsid w:val="00570DE2"/>
    <w:rsid w:val="007E22F3"/>
    <w:rsid w:val="00E50EE7"/>
    <w:rsid w:val="080E751D"/>
    <w:rsid w:val="733D1733"/>
    <w:rsid w:val="F57DD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ind w:firstLine="200" w:firstLineChars="200"/>
      <w:jc w:val="both"/>
    </w:pPr>
    <w:rPr>
      <w:rFonts w:ascii="宋体" w:hAnsi="宋体" w:eastAsia="仿宋" w:cstheme="minorBidi"/>
      <w:kern w:val="2"/>
      <w:sz w:val="28"/>
      <w:szCs w:val="22"/>
      <w:lang w:val="en-US" w:eastAsia="zh-CN" w:bidi="ar-SA"/>
    </w:rPr>
  </w:style>
  <w:style w:type="paragraph" w:styleId="2">
    <w:name w:val="heading 1"/>
    <w:next w:val="1"/>
    <w:link w:val="12"/>
    <w:qFormat/>
    <w:uiPriority w:val="9"/>
    <w:pPr>
      <w:keepNext/>
      <w:keepLines/>
      <w:spacing w:before="340" w:after="330" w:line="578" w:lineRule="auto"/>
      <w:jc w:val="center"/>
      <w:outlineLvl w:val="0"/>
    </w:pPr>
    <w:rPr>
      <w:rFonts w:ascii="仿宋" w:hAnsi="仿宋" w:eastAsia="仿宋" w:cstheme="minorBidi"/>
      <w:b/>
      <w:bCs/>
      <w:kern w:val="44"/>
      <w:sz w:val="44"/>
      <w:szCs w:val="44"/>
      <w:lang w:val="en-US" w:eastAsia="zh-CN" w:bidi="ar-SA"/>
    </w:rPr>
  </w:style>
  <w:style w:type="paragraph" w:styleId="3">
    <w:name w:val="heading 2"/>
    <w:basedOn w:val="1"/>
    <w:next w:val="1"/>
    <w:link w:val="13"/>
    <w:unhideWhenUsed/>
    <w:qFormat/>
    <w:uiPriority w:val="9"/>
    <w:pPr>
      <w:keepNext/>
      <w:keepLines/>
      <w:spacing w:after="260" w:line="415" w:lineRule="auto"/>
      <w:ind w:firstLine="0" w:firstLineChars="0"/>
      <w:outlineLvl w:val="1"/>
    </w:pPr>
    <w:rPr>
      <w:rFonts w:ascii="Agency FB" w:hAnsi="Agency FB" w:cstheme="majorBidi"/>
      <w:b/>
      <w:bCs/>
      <w:sz w:val="32"/>
      <w:szCs w:val="32"/>
    </w:rPr>
  </w:style>
  <w:style w:type="paragraph" w:styleId="4">
    <w:name w:val="heading 3"/>
    <w:basedOn w:val="1"/>
    <w:next w:val="1"/>
    <w:link w:val="14"/>
    <w:unhideWhenUsed/>
    <w:qFormat/>
    <w:uiPriority w:val="9"/>
    <w:pPr>
      <w:keepNext/>
      <w:keepLines/>
      <w:spacing w:after="260" w:line="415" w:lineRule="auto"/>
      <w:outlineLvl w:val="2"/>
    </w:pPr>
    <w:rPr>
      <w:rFonts w:ascii="仿宋" w:hAnsi="仿宋"/>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Lines="0" w:beforeAutospacing="1" w:after="100" w:afterAutospacing="1"/>
      <w:ind w:firstLine="0" w:firstLineChars="0"/>
      <w:jc w:val="left"/>
    </w:pPr>
    <w:rPr>
      <w:rFonts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customStyle="1" w:styleId="12">
    <w:name w:val="标题 1 字符"/>
    <w:basedOn w:val="9"/>
    <w:link w:val="2"/>
    <w:qFormat/>
    <w:uiPriority w:val="9"/>
    <w:rPr>
      <w:rFonts w:ascii="仿宋" w:hAnsi="仿宋" w:eastAsia="仿宋"/>
      <w:b/>
      <w:bCs/>
      <w:kern w:val="44"/>
      <w:sz w:val="44"/>
      <w:szCs w:val="44"/>
    </w:rPr>
  </w:style>
  <w:style w:type="character" w:customStyle="1" w:styleId="13">
    <w:name w:val="标题 2 字符"/>
    <w:basedOn w:val="9"/>
    <w:link w:val="3"/>
    <w:qFormat/>
    <w:uiPriority w:val="9"/>
    <w:rPr>
      <w:rFonts w:ascii="Agency FB" w:hAnsi="Agency FB" w:eastAsia="仿宋" w:cstheme="majorBidi"/>
      <w:b/>
      <w:bCs/>
      <w:sz w:val="32"/>
      <w:szCs w:val="32"/>
    </w:rPr>
  </w:style>
  <w:style w:type="character" w:customStyle="1" w:styleId="14">
    <w:name w:val="标题 3 字符"/>
    <w:basedOn w:val="9"/>
    <w:link w:val="4"/>
    <w:qFormat/>
    <w:uiPriority w:val="9"/>
    <w:rPr>
      <w:rFonts w:ascii="仿宋" w:hAnsi="仿宋" w:eastAsia="仿宋"/>
      <w:b/>
      <w:bCs/>
      <w:sz w:val="28"/>
      <w:szCs w:val="32"/>
    </w:rPr>
  </w:style>
  <w:style w:type="paragraph" w:customStyle="1" w:styleId="15">
    <w:name w:val="artical_info_left"/>
    <w:basedOn w:val="1"/>
    <w:qFormat/>
    <w:uiPriority w:val="0"/>
    <w:pPr>
      <w:widowControl/>
      <w:spacing w:before="100" w:beforeLines="0" w:beforeAutospacing="1" w:after="100" w:afterAutospacing="1"/>
      <w:ind w:firstLine="0" w:firstLineChars="0"/>
      <w:jc w:val="left"/>
    </w:pPr>
    <w:rPr>
      <w:rFonts w:eastAsia="宋体" w:cs="宋体"/>
      <w:kern w:val="0"/>
      <w:sz w:val="24"/>
      <w:szCs w:val="24"/>
    </w:rPr>
  </w:style>
  <w:style w:type="character" w:customStyle="1" w:styleId="16">
    <w:name w:val="font_red"/>
    <w:basedOn w:val="9"/>
    <w:qFormat/>
    <w:uiPriority w:val="0"/>
  </w:style>
  <w:style w:type="paragraph" w:customStyle="1" w:styleId="17">
    <w:name w:val="add-ons-item"/>
    <w:basedOn w:val="1"/>
    <w:qFormat/>
    <w:uiPriority w:val="0"/>
    <w:pPr>
      <w:widowControl/>
      <w:spacing w:before="100" w:beforeLines="0" w:beforeAutospacing="1" w:after="100" w:afterAutospacing="1"/>
      <w:ind w:firstLine="0" w:firstLineChars="0"/>
      <w:jc w:val="left"/>
    </w:pPr>
    <w:rPr>
      <w:rFonts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6070</Words>
  <Characters>6078</Characters>
  <Lines>45</Lines>
  <Paragraphs>12</Paragraphs>
  <TotalTime>15</TotalTime>
  <ScaleCrop>false</ScaleCrop>
  <LinksUpToDate>false</LinksUpToDate>
  <CharactersWithSpaces>6078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2019-05-29T00:50:00Z</dcterms:created>
  <dc:creator>hei</dc:creator>
  <cp:lastModifiedBy>下个世纪末</cp:lastModifiedBy>
  <dcterms:modified xsi:type="dcterms:W3CDTF">2023-06-20T05:24:14Z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DB11B20418BA49EF93D5E2B164A6DBE1_12</vt:lpwstr>
  </property>
</Properties>
</file>