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firstLine="0" w:firstLineChars="0"/>
        <w:jc w:val="center"/>
        <w:outlineLvl w:val="9"/>
        <w:rPr>
          <w:rFonts w:hint="eastAsia" w:ascii="方正小标宋_GBK" w:hAnsi="方正小标宋_GBK" w:eastAsia="方正小标宋_GBK" w:cs="方正小标宋_GBK"/>
          <w:b w:val="0"/>
          <w:bCs w:val="0"/>
          <w:color w:val="auto"/>
          <w:spacing w:val="15"/>
          <w:kern w:val="0"/>
          <w:sz w:val="44"/>
          <w:szCs w:val="44"/>
        </w:rPr>
      </w:pPr>
      <w:r>
        <w:rPr>
          <w:rFonts w:hint="eastAsia" w:ascii="方正小标宋_GBK" w:hAnsi="方正小标宋_GBK" w:eastAsia="方正小标宋_GBK" w:cs="方正小标宋_GBK"/>
          <w:b w:val="0"/>
          <w:bCs w:val="0"/>
          <w:color w:val="auto"/>
          <w:spacing w:val="15"/>
          <w:kern w:val="0"/>
          <w:sz w:val="44"/>
          <w:szCs w:val="44"/>
        </w:rPr>
        <w:t>中共中央办公厅</w:t>
      </w:r>
      <w:r>
        <w:rPr>
          <w:rFonts w:hint="eastAsia" w:ascii="方正小标宋_GBK" w:hAnsi="方正小标宋_GBK" w:eastAsia="方正小标宋_GBK" w:cs="方正小标宋_GBK"/>
          <w:b w:val="0"/>
          <w:bCs w:val="0"/>
          <w:color w:val="auto"/>
          <w:spacing w:val="15"/>
          <w:kern w:val="0"/>
          <w:sz w:val="44"/>
          <w:szCs w:val="44"/>
          <w:lang w:val="en"/>
        </w:rPr>
        <w:t xml:space="preserve"> </w:t>
      </w:r>
      <w:r>
        <w:rPr>
          <w:rFonts w:hint="eastAsia" w:ascii="方正小标宋_GBK" w:hAnsi="方正小标宋_GBK" w:eastAsia="方正小标宋_GBK" w:cs="方正小标宋_GBK"/>
          <w:b w:val="0"/>
          <w:bCs w:val="0"/>
          <w:color w:val="auto"/>
          <w:spacing w:val="15"/>
          <w:kern w:val="0"/>
          <w:sz w:val="44"/>
          <w:szCs w:val="44"/>
        </w:rPr>
        <w:t>国务院办公厅</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firstLine="0" w:firstLineChars="0"/>
        <w:jc w:val="center"/>
        <w:outlineLvl w:val="9"/>
        <w:rPr>
          <w:rFonts w:hint="eastAsia" w:ascii="方正小标宋_GBK" w:hAnsi="方正小标宋_GBK" w:eastAsia="方正小标宋_GBK" w:cs="方正小标宋_GBK"/>
          <w:b w:val="0"/>
          <w:bCs w:val="0"/>
          <w:color w:val="auto"/>
          <w:spacing w:val="15"/>
          <w:kern w:val="0"/>
          <w:sz w:val="44"/>
          <w:szCs w:val="44"/>
        </w:rPr>
      </w:pPr>
      <w:r>
        <w:rPr>
          <w:rFonts w:hint="eastAsia" w:ascii="方正小标宋_GBK" w:hAnsi="方正小标宋_GBK" w:eastAsia="方正小标宋_GBK" w:cs="方正小标宋_GBK"/>
          <w:b w:val="0"/>
          <w:bCs w:val="0"/>
          <w:color w:val="auto"/>
          <w:spacing w:val="15"/>
          <w:kern w:val="0"/>
          <w:sz w:val="44"/>
          <w:szCs w:val="44"/>
        </w:rPr>
        <w:t>关于加快推进失信被执行人信用监督、警示和惩戒机制建设的意见</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firstLine="0" w:firstLineChars="0"/>
        <w:jc w:val="center"/>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中办发〔2016〕64号</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楷体_GB2312" w:hAnsi="楷体_GB2312" w:eastAsia="楷体_GB2312" w:cs="楷体_GB2312"/>
          <w:b w:val="0"/>
          <w:bCs w:val="0"/>
          <w:color w:val="auto"/>
          <w:spacing w:val="15"/>
          <w:kern w:val="0"/>
          <w:sz w:val="32"/>
          <w:szCs w:val="32"/>
          <w:lang w:val="en"/>
        </w:rPr>
      </w:pP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一、总体要求</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eastAsia" w:ascii="方正楷体_GBK" w:hAnsi="方正楷体_GBK" w:eastAsia="方正楷体_GBK" w:cs="方正楷体_GBK"/>
          <w:b w:val="0"/>
          <w:bCs w:val="0"/>
          <w:color w:val="auto"/>
          <w:spacing w:val="15"/>
          <w:kern w:val="0"/>
          <w:sz w:val="32"/>
          <w:szCs w:val="32"/>
        </w:rPr>
        <w:t>（一）指导思想。</w:t>
      </w:r>
      <w:r>
        <w:rPr>
          <w:rFonts w:hint="default" w:ascii="Times New Roman" w:hAnsi="Times New Roman" w:eastAsia="方正仿宋_GBK" w:cs="Times New Roman"/>
          <w:b w:val="0"/>
          <w:bCs w:val="0"/>
          <w:color w:val="auto"/>
          <w:spacing w:val="15"/>
          <w:kern w:val="0"/>
          <w:sz w:val="32"/>
          <w:szCs w:val="32"/>
        </w:rPr>
        <w:t>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（二）基本原则</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——坚持合法性。对失信被执行人信用监督、警示和惩戒要严格遵照法律法规实施。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——坚持信息共享。破除各地区各部门之间以及国家机关与人民团体、社会组织、企事业单位之间的信用信息壁垒，依法推进信用信息互联互通和交换共享。</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——坚持联合惩戒。各地区各部门要各司其职，相互配合，形成合力，构建一处失信、处处受限的信用监督、警示和惩戒体系。</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——坚持政府主导和社会联动。各级政府要发挥主导作用，同时发挥各方面力量，促进全社会共同参与、共同治理，实现政府主导与社会联动的有效融合。</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二、加强联合惩戒</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（一）从事特定行业或项目限制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2.发行债券限制。对失信被执行人在银行间市场发行债券从严审核，限制失信被执行人公开发行公司债券。  </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3.合格投资者额度限制。在合格境外机构投资者、合格境内机构投资者额度审批和管理中，将失信状况作为审慎性参考依据。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4.股权激励限制。失信被执行人为境内国有控股上市公司的，协助中止其股权激励计划；对失信被执行人为境内国有控股上市公司股权激励对象的，协助终止其行权资格。</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5.股票发行或挂牌转让限制。将失信被执行人信息作为股票发行和在全国中小企业股份转让系统挂牌公开转让股票审核的参考。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6.设立社会组织限制。将失信被执行人信息作为发起设立社会组织审批登记的参考，限制失信被执行人发起设立社会组织。</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（二）政府支持或补贴限制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1.获取政府补贴限制。限制失信被执行人申请政府补贴资金和社会保障资金支持。</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2.获得政策支持限制。在审批投资、进出口、科技等政策支持的申请时，查询相关机构及其法定代表人、实际控制人、董事、监事、高级管理人员是否为失信被执行人，作为其享受该政策的审慎性参考。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（三）任职资格限制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2.担任事业单位法定代表人限制。失信被执行人为个人的，限制其登记为事业单位法定代表人。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3.担任金融机构高管限制。限制失信被执行人担任银行业金融机构、证券公司、基金管理公司、期货公司、保险公司、融资性担保公司的董事、监事、高级管理人员。</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4.担任社会组织负责人限制。失信被执行人为个人的，限制其登记或备案为社会组织负责人。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5.招录（聘）为公务人员限制。限制招录（聘）失信被执行人为公务员或事业单位工作人员，在职公务员或事业单位工作人员被确定为失信被执行人的，失信情况应作为其评先、评优、晋职晋级的参考。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6.入党或党员的特别限制。将严格遵守法律、履行生效法律文书确定的义务情况，作为申请加入中国共产党、预备党员转为正式党员以及党员评先、评优、晋职晋级的重要参考。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7.担任党代表、人大代表和政协委员限制。失信被执行人为个人的，不作为组织推荐的各级党代会代表、各级人大代表和政协委员候选人。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8.入伍服役限制。失信被执行人为个人的，将其失信情况作为入伍服役和现役、预备役军官评先、评优、晋职晋级的重要参考。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（四）准入资格限制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1.海关认证限制。限制失信被执行人成为海关认证企业；在失信被执行人办理通关业务时，实施严密监管，加强单证审核或布控查验。</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3.房地产、建筑企业资质限制。将房地产、建筑企业不依法履行生效法律文书确定的义务情况，记入房地产和建筑市场信用档案，向社会披露有关信息，对其企业资质作出限制。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bookmarkStart w:id="0" w:name="_GoBack"/>
      <w:r>
        <w:rPr>
          <w:rFonts w:hint="default" w:ascii="方正楷体_GBK" w:hAnsi="方正楷体_GBK" w:eastAsia="方正楷体_GBK" w:cs="方正楷体_GBK"/>
          <w:b w:val="0"/>
          <w:bCs w:val="0"/>
          <w:color w:val="auto"/>
          <w:spacing w:val="15"/>
          <w:kern w:val="0"/>
          <w:sz w:val="32"/>
          <w:szCs w:val="32"/>
        </w:rPr>
        <w:t>（五）荣誉和授信限制</w:t>
      </w:r>
    </w:p>
    <w:bookmarkEnd w:id="0"/>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2.律师和律师事务所荣誉限制。协助人民法院查询失信被执行人的律师身份信息、律师事务所登记信息；失信被执行人为律师、律师事务所的，在一定期限内限制其参与评先、评优。</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3.授信限制。银行业金融机构在融资授信时要查询拟授信对象及其法定代表人、主要负责人、实际控制人、董事、监事、高级管理人员是否为失信被执行人，对拟授信对象为失信被执行人的，要从严审核。</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（六）特殊市场交易限制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2.使用国有林地限制。限制失信被执行人申报使用国有林地项目；限制其申报重点林业建设项目。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3.使用草原限制。限制失信被执行人申报草原征占用项目；限制其申报承担国家草原保护建设项目。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4.其他国有自然资源利用限制。限制失信被执行人申报水流、海域、无居民海岛、山岭、荒地、滩涂等国有自然资源利用项目以及重点自然资源保护建设项目。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（七）限制高消费及有关消费</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4.子女就读高收费学校限制。限制失信被执行人及失信被执行人的法定代表人、主要负责人、实际控制人、影响债务履行的直接责任人员以其财产支付子女入学就读高收费私立学校。</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5.购买具有现金价值保险限制。限制失信被执行人及失信被执行人的法定代表人、主要负责人、实际控制人、影响债务履行的直接责任人员支付高额保费购买具有现金价值的保险产品。</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（八）协助查询、控制及出境限制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协助人民法院依法查询失信被执行人身份、出入境证件信息及车辆信息，协助查封、扣押失信被执行人名下的车辆，协助查找、控制下落不明的失信被执行人，限制失信被执行人出境。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（九）加强日常监管检查</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（十）加大刑事惩戒力度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公安、检察机关和人民法院对拒不执行生效判决、裁定以及其他妨碍执行构成犯罪的行为，要及时依法侦查、提起公诉和审判。</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（十一）鼓励其他方面限制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鼓励各级党政机关、人民团体、社会组织、企事业单位使用失信被执行人名单信息，结合各自主管领域、业务范围、经营活动，实施对失信被执行人的信用监督、警示和惩戒。</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三、加强信息公开与共享</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（一）失信信息公开</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（二）纳入政府政务公开</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（三）信用信息共享</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lang w:val="en"/>
        </w:rPr>
      </w:pPr>
      <w:r>
        <w:rPr>
          <w:rFonts w:hint="default" w:ascii="方正楷体_GBK" w:hAnsi="方正楷体_GBK" w:eastAsia="方正楷体_GBK" w:cs="方正楷体_GBK"/>
          <w:b w:val="0"/>
          <w:bCs w:val="0"/>
          <w:color w:val="auto"/>
          <w:spacing w:val="15"/>
          <w:kern w:val="0"/>
          <w:sz w:val="32"/>
          <w:szCs w:val="32"/>
        </w:rPr>
        <w:t>（四）共享体制机制建设</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四、完善相关制度机制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（一）进一步提高执行查控工作能力</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2.拓展执行查控措施。人民法院要进一步拓展对被告和被执行人财产的查控手段和措施。研究制定被执行人财产报告制度、律师调查被执行人财产制度、公告悬赏制度、审计调查制度等财产查控制度。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（二）进一步完善失信被执行人名单制度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1.完善名单纳入制度。各级人民法院要根据执行案件的办理权限，严格按照法定条件和程序决定是否将被执行人纳入失信名单。</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2.确保名单信息准确规范。人民法院要建立严格的操作规程和审核纠错机制，确保失信被执行人名单信息准确规范。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3.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6.责任追究。进一步完善责任追究制度，对应当纳入而不纳入、违法纳入以及不按规定屏蔽、撤销失信名单等行为，要按照有关规定追究责任。</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（三）进一步完善党政机关支持人民法院执行工作制度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1.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rPr>
      </w:pPr>
      <w:r>
        <w:rPr>
          <w:rFonts w:hint="default" w:ascii="Times New Roman" w:hAnsi="Times New Roman" w:eastAsia="方正仿宋_GBK" w:cs="Times New Roman"/>
          <w:b w:val="0"/>
          <w:bCs w:val="0"/>
          <w:color w:val="auto"/>
          <w:spacing w:val="15"/>
          <w:kern w:val="0"/>
          <w:sz w:val="32"/>
          <w:szCs w:val="32"/>
        </w:rPr>
        <w:t>2.严格落实执行工作综治考核责任。将失信被执行人联合惩戒情况作为社会治安综合治理目标责任考核的重要内容。严格落实人民法院执行工作在社会治安综合治理目标责任考核中的有关要求。</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3.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黑体_GBK" w:hAnsi="方正黑体_GBK" w:eastAsia="方正黑体_GBK" w:cs="方正黑体_GBK"/>
          <w:b w:val="0"/>
          <w:bCs w:val="0"/>
          <w:color w:val="auto"/>
          <w:spacing w:val="15"/>
          <w:kern w:val="0"/>
          <w:sz w:val="32"/>
          <w:szCs w:val="32"/>
          <w:lang w:val="en"/>
        </w:rPr>
      </w:pPr>
      <w:r>
        <w:rPr>
          <w:rFonts w:hint="eastAsia" w:ascii="方正黑体_GBK" w:hAnsi="方正黑体_GBK" w:eastAsia="方正黑体_GBK" w:cs="方正黑体_GBK"/>
          <w:b w:val="0"/>
          <w:bCs w:val="0"/>
          <w:color w:val="auto"/>
          <w:spacing w:val="15"/>
          <w:kern w:val="0"/>
          <w:sz w:val="32"/>
          <w:szCs w:val="32"/>
        </w:rPr>
        <w:t>五、加强组织领导</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（一）加强组织实施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方正楷体_GBK" w:hAnsi="方正楷体_GBK" w:eastAsia="方正楷体_GBK" w:cs="方正楷体_GBK"/>
          <w:b w:val="0"/>
          <w:bCs w:val="0"/>
          <w:color w:val="auto"/>
          <w:spacing w:val="15"/>
          <w:kern w:val="0"/>
          <w:sz w:val="32"/>
          <w:szCs w:val="32"/>
        </w:rPr>
      </w:pPr>
      <w:r>
        <w:rPr>
          <w:rFonts w:hint="default" w:ascii="方正楷体_GBK" w:hAnsi="方正楷体_GBK" w:eastAsia="方正楷体_GBK" w:cs="方正楷体_GBK"/>
          <w:b w:val="0"/>
          <w:bCs w:val="0"/>
          <w:color w:val="auto"/>
          <w:spacing w:val="15"/>
          <w:kern w:val="0"/>
          <w:sz w:val="32"/>
          <w:szCs w:val="32"/>
        </w:rPr>
        <w:t>（二）强化工作保障</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楷体_GBK" w:hAnsi="方正楷体_GBK" w:eastAsia="方正楷体_GBK" w:cs="方正楷体_GBK"/>
          <w:b w:val="0"/>
          <w:bCs w:val="0"/>
          <w:color w:val="auto"/>
          <w:spacing w:val="15"/>
          <w:kern w:val="0"/>
          <w:sz w:val="32"/>
          <w:szCs w:val="32"/>
        </w:rPr>
      </w:pPr>
      <w:r>
        <w:rPr>
          <w:rFonts w:hint="eastAsia" w:ascii="方正楷体_GBK" w:hAnsi="方正楷体_GBK" w:eastAsia="方正楷体_GBK" w:cs="方正楷体_GBK"/>
          <w:b w:val="0"/>
          <w:bCs w:val="0"/>
          <w:color w:val="auto"/>
          <w:spacing w:val="15"/>
          <w:kern w:val="0"/>
          <w:sz w:val="32"/>
          <w:szCs w:val="32"/>
        </w:rPr>
        <w:t>（三）完善相关法律规定</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eastAsia" w:ascii="方正楷体_GBK" w:hAnsi="方正楷体_GBK" w:eastAsia="方正楷体_GBK" w:cs="方正楷体_GBK"/>
          <w:b w:val="0"/>
          <w:bCs w:val="0"/>
          <w:color w:val="auto"/>
          <w:spacing w:val="15"/>
          <w:kern w:val="0"/>
          <w:sz w:val="32"/>
          <w:szCs w:val="32"/>
        </w:rPr>
      </w:pPr>
      <w:r>
        <w:rPr>
          <w:rFonts w:hint="eastAsia" w:ascii="方正楷体_GBK" w:hAnsi="方正楷体_GBK" w:eastAsia="方正楷体_GBK" w:cs="方正楷体_GBK"/>
          <w:b w:val="0"/>
          <w:bCs w:val="0"/>
          <w:color w:val="auto"/>
          <w:spacing w:val="15"/>
          <w:kern w:val="0"/>
          <w:sz w:val="32"/>
          <w:szCs w:val="32"/>
        </w:rPr>
        <w:t>（四）加大宣传力度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Times New Roman" w:hAnsi="Times New Roman" w:eastAsia="方正仿宋_GBK" w:cs="Times New Roman"/>
          <w:b w:val="0"/>
          <w:bCs w:val="0"/>
          <w:color w:val="auto"/>
          <w:spacing w:val="15"/>
          <w:kern w:val="0"/>
          <w:sz w:val="32"/>
          <w:szCs w:val="32"/>
          <w:lang w:val="en"/>
        </w:rPr>
      </w:pPr>
      <w:r>
        <w:rPr>
          <w:rFonts w:hint="default" w:ascii="Times New Roman" w:hAnsi="Times New Roman" w:eastAsia="方正仿宋_GBK" w:cs="Times New Roman"/>
          <w:b w:val="0"/>
          <w:bCs w:val="0"/>
          <w:color w:val="auto"/>
          <w:spacing w:val="15"/>
          <w:kern w:val="0"/>
          <w:sz w:val="32"/>
          <w:szCs w:val="32"/>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outlineLvl w:val="9"/>
        <w:rPr>
          <w:rFonts w:hint="default" w:ascii="仿宋_GB2312" w:hAnsi="仿宋_GB2312" w:eastAsia="仿宋_GB2312" w:cs="仿宋_GB2312"/>
          <w:color w:val="auto"/>
          <w:spacing w:val="15"/>
          <w:kern w:val="0"/>
          <w:sz w:val="32"/>
          <w:szCs w:val="32"/>
          <w:lang w:val="en"/>
        </w:rPr>
      </w:pPr>
    </w:p>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gency FB">
    <w:panose1 w:val="020B0503020202020204"/>
    <w:charset w:val="00"/>
    <w:family w:val="swiss"/>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560"/>
      </w:pPr>
      <w:r>
        <w:separator/>
      </w:r>
    </w:p>
  </w:footnote>
  <w:footnote w:type="continuationSeparator" w:id="1">
    <w:p>
      <w:pPr>
        <w:spacing w:before="0" w:after="0"/>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MmE4ZmY4OTQ0ODAwZjYxMjgyMTgzNWQ4MjFlNGMifQ=="/>
  </w:docVars>
  <w:rsids>
    <w:rsidRoot w:val="002E115C"/>
    <w:rsid w:val="00113C2A"/>
    <w:rsid w:val="001401D9"/>
    <w:rsid w:val="002E115C"/>
    <w:rsid w:val="005314A3"/>
    <w:rsid w:val="007E22F3"/>
    <w:rsid w:val="33778538"/>
    <w:rsid w:val="44DEE36B"/>
    <w:rsid w:val="6261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ind w:firstLine="200" w:firstLineChars="200"/>
      <w:jc w:val="both"/>
    </w:pPr>
    <w:rPr>
      <w:rFonts w:ascii="宋体" w:hAnsi="宋体" w:eastAsia="仿宋" w:cstheme="minorBidi"/>
      <w:kern w:val="2"/>
      <w:sz w:val="28"/>
      <w:szCs w:val="22"/>
      <w:lang w:val="en-US" w:eastAsia="zh-CN" w:bidi="ar-SA"/>
    </w:rPr>
  </w:style>
  <w:style w:type="paragraph" w:styleId="2">
    <w:name w:val="heading 1"/>
    <w:next w:val="1"/>
    <w:link w:val="12"/>
    <w:qFormat/>
    <w:uiPriority w:val="9"/>
    <w:pPr>
      <w:keepNext/>
      <w:keepLines/>
      <w:spacing w:before="340" w:after="330" w:line="578" w:lineRule="auto"/>
      <w:jc w:val="center"/>
      <w:outlineLvl w:val="0"/>
    </w:pPr>
    <w:rPr>
      <w:rFonts w:ascii="仿宋" w:hAnsi="仿宋" w:eastAsia="仿宋" w:cstheme="minorBidi"/>
      <w:b/>
      <w:bCs/>
      <w:kern w:val="44"/>
      <w:sz w:val="44"/>
      <w:szCs w:val="44"/>
      <w:lang w:val="en-US" w:eastAsia="zh-CN" w:bidi="ar-SA"/>
    </w:rPr>
  </w:style>
  <w:style w:type="paragraph" w:styleId="3">
    <w:name w:val="heading 2"/>
    <w:basedOn w:val="1"/>
    <w:next w:val="1"/>
    <w:link w:val="13"/>
    <w:unhideWhenUsed/>
    <w:qFormat/>
    <w:uiPriority w:val="9"/>
    <w:pPr>
      <w:keepNext/>
      <w:keepLines/>
      <w:spacing w:after="260" w:line="415" w:lineRule="auto"/>
      <w:ind w:firstLine="0" w:firstLineChars="0"/>
      <w:outlineLvl w:val="1"/>
    </w:pPr>
    <w:rPr>
      <w:rFonts w:ascii="Agency FB" w:hAnsi="Agency FB" w:cstheme="majorBidi"/>
      <w:b/>
      <w:bCs/>
      <w:sz w:val="32"/>
      <w:szCs w:val="32"/>
    </w:rPr>
  </w:style>
  <w:style w:type="paragraph" w:styleId="4">
    <w:name w:val="heading 3"/>
    <w:basedOn w:val="1"/>
    <w:next w:val="1"/>
    <w:link w:val="14"/>
    <w:unhideWhenUsed/>
    <w:qFormat/>
    <w:uiPriority w:val="9"/>
    <w:pPr>
      <w:keepNext/>
      <w:keepLines/>
      <w:spacing w:after="260" w:line="415" w:lineRule="auto"/>
      <w:outlineLvl w:val="2"/>
    </w:pPr>
    <w:rPr>
      <w:rFonts w:ascii="仿宋" w:hAnsi="仿宋"/>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Lines="0" w:beforeAutospacing="1" w:after="100" w:afterAutospacing="1"/>
      <w:ind w:firstLine="0" w:firstLineChars="0"/>
      <w:jc w:val="left"/>
    </w:pPr>
    <w:rPr>
      <w:rFonts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customStyle="1" w:styleId="12">
    <w:name w:val="标题 1 字符"/>
    <w:basedOn w:val="9"/>
    <w:link w:val="2"/>
    <w:qFormat/>
    <w:uiPriority w:val="9"/>
    <w:rPr>
      <w:rFonts w:ascii="仿宋" w:hAnsi="仿宋" w:eastAsia="仿宋"/>
      <w:b/>
      <w:bCs/>
      <w:kern w:val="44"/>
      <w:sz w:val="44"/>
      <w:szCs w:val="44"/>
    </w:rPr>
  </w:style>
  <w:style w:type="character" w:customStyle="1" w:styleId="13">
    <w:name w:val="标题 2 字符"/>
    <w:basedOn w:val="9"/>
    <w:link w:val="3"/>
    <w:qFormat/>
    <w:uiPriority w:val="9"/>
    <w:rPr>
      <w:rFonts w:ascii="Agency FB" w:hAnsi="Agency FB" w:eastAsia="仿宋" w:cstheme="majorBidi"/>
      <w:b/>
      <w:bCs/>
      <w:sz w:val="32"/>
      <w:szCs w:val="32"/>
    </w:rPr>
  </w:style>
  <w:style w:type="character" w:customStyle="1" w:styleId="14">
    <w:name w:val="标题 3 字符"/>
    <w:basedOn w:val="9"/>
    <w:link w:val="4"/>
    <w:qFormat/>
    <w:uiPriority w:val="9"/>
    <w:rPr>
      <w:rFonts w:ascii="仿宋" w:hAnsi="仿宋" w:eastAsia="仿宋"/>
      <w:b/>
      <w:bCs/>
      <w:sz w:val="28"/>
      <w:szCs w:val="32"/>
    </w:rPr>
  </w:style>
  <w:style w:type="paragraph" w:customStyle="1" w:styleId="15">
    <w:name w:val="artical_info_left"/>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 w:type="character" w:customStyle="1" w:styleId="16">
    <w:name w:val="font_red"/>
    <w:basedOn w:val="9"/>
    <w:qFormat/>
    <w:uiPriority w:val="0"/>
  </w:style>
  <w:style w:type="paragraph" w:customStyle="1" w:styleId="17">
    <w:name w:val="add-ons-item"/>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7103</Words>
  <Characters>7162</Characters>
  <Lines>53</Lines>
  <Paragraphs>15</Paragraphs>
  <TotalTime>19</TotalTime>
  <ScaleCrop>false</ScaleCrop>
  <LinksUpToDate>false</LinksUpToDate>
  <CharactersWithSpaces>7165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2019-05-29T00:58:00Z</dcterms:created>
  <dc:creator>hei</dc:creator>
  <cp:lastModifiedBy>下个世纪末</cp:lastModifiedBy>
  <dcterms:modified xsi:type="dcterms:W3CDTF">2023-06-20T05:35:08Z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38905B2D6BA34B4DA5F6184BC78983AC_12</vt:lpwstr>
  </property>
</Properties>
</file>