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jc w:val="center"/>
        <w:rPr>
          <w:rFonts w:hint="eastAsia" w:ascii="微软雅黑" w:hAnsi="微软雅黑" w:eastAsia="微软雅黑" w:cs="微软雅黑"/>
          <w:color w:val="auto"/>
          <w:sz w:val="21"/>
          <w:szCs w:val="21"/>
          <w:lang w:val="zh-CN"/>
        </w:rPr>
      </w:pPr>
      <w:bookmarkStart w:id="0" w:name="_Toc27832"/>
    </w:p>
    <w:p>
      <w:pPr>
        <w:spacing w:before="0" w:beforeLines="0" w:after="0" w:afterLines="0" w:line="240" w:lineRule="auto"/>
        <w:ind w:left="0" w:leftChars="0" w:right="0" w:rightChars="0" w:firstLine="0" w:firstLineChars="0"/>
        <w:jc w:val="center"/>
        <w:rPr>
          <w:rFonts w:hint="eastAsia" w:ascii="宋体" w:hAnsi="宋体"/>
          <w:b/>
          <w:bCs/>
          <w:color w:val="auto"/>
          <w:sz w:val="44"/>
          <w:szCs w:val="48"/>
          <w:lang w:eastAsia="zh-CN"/>
        </w:rPr>
      </w:pPr>
    </w:p>
    <w:p>
      <w:pPr>
        <w:spacing w:before="0" w:beforeLines="0" w:after="0" w:afterLines="0" w:line="240" w:lineRule="auto"/>
        <w:ind w:left="0" w:leftChars="0" w:right="0" w:rightChars="0" w:firstLine="0" w:firstLineChars="0"/>
        <w:jc w:val="center"/>
        <w:rPr>
          <w:rFonts w:hint="eastAsia" w:ascii="宋体" w:hAnsi="宋体"/>
          <w:b w:val="0"/>
          <w:bCs w:val="0"/>
          <w:sz w:val="32"/>
          <w:szCs w:val="32"/>
          <w:lang w:eastAsia="zh-CN"/>
        </w:rPr>
      </w:pPr>
      <w:r>
        <w:rPr>
          <w:rFonts w:hint="eastAsia" w:ascii="宋体" w:hAnsi="宋体"/>
          <w:b w:val="0"/>
          <w:bCs w:val="0"/>
          <w:sz w:val="32"/>
          <w:szCs w:val="32"/>
          <w:lang w:eastAsia="zh-CN"/>
        </w:rPr>
        <w:t>重庆市梁平区石安镇龙坪村规划</w:t>
      </w:r>
    </w:p>
    <w:p>
      <w:pPr>
        <w:spacing w:before="0" w:beforeLines="0" w:after="0" w:afterLines="0" w:line="240" w:lineRule="auto"/>
        <w:ind w:left="0" w:leftChars="0" w:right="0" w:rightChars="0" w:firstLine="0" w:firstLineChars="0"/>
        <w:jc w:val="center"/>
        <w:rPr>
          <w:rFonts w:hint="default" w:ascii="宋体" w:hAnsi="宋体"/>
          <w:b w:val="0"/>
          <w:bCs w:val="0"/>
          <w:sz w:val="32"/>
          <w:szCs w:val="32"/>
          <w:lang w:val="en-US" w:eastAsia="zh-CN"/>
        </w:rPr>
        <w:sectPr>
          <w:footerReference r:id="rId3" w:type="default"/>
          <w:footerReference r:id="rId4" w:type="even"/>
          <w:pgSz w:w="11906" w:h="16838"/>
          <w:pgMar w:top="1440" w:right="1800" w:bottom="1440" w:left="1800" w:header="851" w:footer="992" w:gutter="0"/>
          <w:pgNumType w:fmt="decimalFullWidth" w:start="1"/>
          <w:cols w:space="720" w:num="1"/>
          <w:docGrid w:type="lines" w:linePitch="312" w:charSpace="0"/>
        </w:sectPr>
      </w:pPr>
      <w:r>
        <w:rPr>
          <w:rFonts w:hint="eastAsia" w:ascii="宋体" w:hAnsi="宋体"/>
          <w:b w:val="0"/>
          <w:bCs w:val="0"/>
          <w:sz w:val="32"/>
          <w:szCs w:val="32"/>
          <w:lang w:val="en-US" w:eastAsia="zh-CN"/>
        </w:rPr>
        <w:t>（2019-2035）</w:t>
      </w:r>
    </w:p>
    <w:p>
      <w:pPr>
        <w:pStyle w:val="50"/>
        <w:ind w:firstLine="3992" w:firstLineChars="1900"/>
        <w:jc w:val="both"/>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目   录</w:t>
      </w:r>
      <w:bookmarkEnd w:id="0"/>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lang w:val="zh-CN"/>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"_Toc488239680"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文   本</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0</w:t>
      </w:r>
      <w:r>
        <w:rPr>
          <w:rFonts w:hint="eastAsia" w:ascii="微软雅黑" w:hAnsi="微软雅黑" w:eastAsia="微软雅黑" w:cs="微软雅黑"/>
          <w:b/>
          <w:bC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szCs w:val="21"/>
        </w:rPr>
        <w:fldChar w:fldCharType="begin"/>
      </w:r>
      <w:r>
        <w:rPr>
          <w:rFonts w:hint="eastAsia" w:ascii="微软雅黑" w:hAnsi="微软雅黑" w:eastAsia="微软雅黑" w:cs="微软雅黑"/>
          <w:b/>
          <w:bCs/>
          <w:szCs w:val="21"/>
        </w:rPr>
        <w:instrText xml:space="preserve"> TOC \o "1-3" \h \z \u </w:instrText>
      </w:r>
      <w:r>
        <w:rPr>
          <w:rFonts w:hint="eastAsia" w:ascii="微软雅黑" w:hAnsi="微软雅黑" w:eastAsia="微软雅黑" w:cs="微软雅黑"/>
          <w:b/>
          <w:bCs/>
          <w:szCs w:val="21"/>
        </w:rPr>
        <w:fldChar w:fldCharType="separate"/>
      </w: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_Toc23558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lang w:eastAsia="zh-CN"/>
        </w:rPr>
        <w:t>第一章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总  则</w:t>
      </w:r>
      <w:r>
        <w:rPr>
          <w:rFonts w:hint="eastAsia" w:ascii="微软雅黑" w:hAnsi="微软雅黑" w:eastAsia="微软雅黑" w:cs="微软雅黑"/>
          <w:b/>
          <w:bCs/>
        </w:rPr>
        <w:tab/>
      </w: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PAGEREF _Toc23558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r>
        <w:rPr>
          <w:rFonts w:hint="eastAsia" w:ascii="微软雅黑" w:hAnsi="微软雅黑" w:eastAsia="微软雅黑" w:cs="微软雅黑"/>
          <w:b/>
          <w:bC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_Toc5984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第二章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村域人口规模预测</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4</w:t>
      </w:r>
      <w:r>
        <w:rPr>
          <w:rFonts w:hint="eastAsia" w:ascii="微软雅黑" w:hAnsi="微软雅黑" w:eastAsia="微软雅黑" w:cs="微软雅黑"/>
          <w:b/>
          <w:bCs/>
          <w:lang w:val="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_Toc21707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第三章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村域空间功能布局及相关控制要求</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5</w:t>
      </w:r>
      <w:r>
        <w:rPr>
          <w:rFonts w:hint="eastAsia" w:ascii="微软雅黑" w:hAnsi="微软雅黑" w:eastAsia="微软雅黑" w:cs="微软雅黑"/>
          <w:b/>
          <w:bCs/>
          <w:lang w:val="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_Toc7727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第四章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村域土地利用规划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7</w:t>
      </w:r>
      <w:r>
        <w:rPr>
          <w:rFonts w:hint="eastAsia" w:ascii="微软雅黑" w:hAnsi="微软雅黑" w:eastAsia="微软雅黑" w:cs="微软雅黑"/>
          <w:b/>
          <w:bCs/>
          <w:lang w:val="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_Toc4035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第五章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村域产业发展规划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9</w:t>
      </w:r>
      <w:r>
        <w:rPr>
          <w:rFonts w:hint="eastAsia" w:ascii="微软雅黑" w:hAnsi="微软雅黑" w:eastAsia="微软雅黑" w:cs="微软雅黑"/>
          <w:b/>
          <w:bCs/>
          <w:lang w:val="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_Toc25724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第六章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村域居民</w:t>
      </w:r>
      <w:r>
        <w:rPr>
          <w:rFonts w:hint="eastAsia" w:ascii="微软雅黑" w:hAnsi="微软雅黑" w:eastAsia="微软雅黑" w:cs="微软雅黑"/>
          <w:b/>
          <w:bCs/>
          <w:lang w:eastAsia="zh-CN"/>
        </w:rPr>
        <w:t>建筑规划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9</w:t>
      </w:r>
      <w:r>
        <w:rPr>
          <w:rFonts w:hint="eastAsia" w:ascii="微软雅黑" w:hAnsi="微软雅黑" w:eastAsia="微软雅黑" w:cs="微软雅黑"/>
          <w:b/>
          <w:bCs/>
          <w:lang w:val="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_Toc23341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第七章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村域公共服务设施规划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0</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_Toc12671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第八章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村域交通规划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1</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_Toc4279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第九章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村域基础设施规划</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3</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_Toc631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第十章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村域生态环境保护</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8</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_Toc28837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lang w:eastAsia="zh-CN"/>
        </w:rPr>
        <w:t>第十一章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防灾减灾</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9</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_Toc4598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rPr>
        <w:t>第十</w:t>
      </w:r>
      <w:r>
        <w:rPr>
          <w:rFonts w:hint="eastAsia" w:ascii="微软雅黑" w:hAnsi="微软雅黑" w:eastAsia="微软雅黑" w:cs="微软雅黑"/>
          <w:b/>
          <w:bCs/>
          <w:lang w:eastAsia="zh-CN"/>
        </w:rPr>
        <w:t>二</w:t>
      </w:r>
      <w:r>
        <w:rPr>
          <w:rFonts w:hint="eastAsia" w:ascii="微软雅黑" w:hAnsi="微软雅黑" w:eastAsia="微软雅黑" w:cs="微软雅黑"/>
          <w:b/>
          <w:bCs/>
        </w:rPr>
        <w:t>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规划分期</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6</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_Toc31137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rPr>
        <w:t>第十</w:t>
      </w:r>
      <w:r>
        <w:rPr>
          <w:rFonts w:hint="eastAsia" w:ascii="微软雅黑" w:hAnsi="微软雅黑" w:eastAsia="微软雅黑" w:cs="微软雅黑"/>
          <w:b/>
          <w:bCs/>
          <w:lang w:eastAsia="zh-CN"/>
        </w:rPr>
        <w:t>三</w:t>
      </w:r>
      <w:r>
        <w:rPr>
          <w:rFonts w:hint="eastAsia" w:ascii="微软雅黑" w:hAnsi="微软雅黑" w:eastAsia="微软雅黑" w:cs="微软雅黑"/>
          <w:b/>
          <w:bCs/>
        </w:rPr>
        <w:t>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规划实施保障</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7</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lang w:val="en-US" w:eastAsia="zh-CN"/>
        </w:rPr>
      </w:pPr>
      <w:r>
        <w:rPr>
          <w:rFonts w:hint="eastAsia" w:ascii="微软雅黑" w:hAnsi="微软雅黑" w:eastAsia="微软雅黑" w:cs="微软雅黑"/>
          <w:b/>
          <w:bCs/>
          <w:lang w:val="zh-CN"/>
        </w:rPr>
        <w:fldChar w:fldCharType="begin"/>
      </w:r>
      <w:r>
        <w:rPr>
          <w:rFonts w:hint="eastAsia" w:ascii="微软雅黑" w:hAnsi="微软雅黑" w:eastAsia="微软雅黑" w:cs="微软雅黑"/>
          <w:b/>
          <w:bCs/>
          <w:lang w:val="zh-CN"/>
        </w:rPr>
        <w:instrText xml:space="preserve"> HYPERLINK \l _Toc25759 </w:instrText>
      </w:r>
      <w:r>
        <w:rPr>
          <w:rFonts w:hint="eastAsia" w:ascii="微软雅黑" w:hAnsi="微软雅黑" w:eastAsia="微软雅黑" w:cs="微软雅黑"/>
          <w:b/>
          <w:bCs/>
          <w:lang w:val="zh-CN"/>
        </w:rPr>
        <w:fldChar w:fldCharType="separate"/>
      </w:r>
      <w:r>
        <w:rPr>
          <w:rFonts w:hint="eastAsia" w:ascii="微软雅黑" w:hAnsi="微软雅黑" w:eastAsia="微软雅黑" w:cs="微软雅黑"/>
          <w:b/>
          <w:bCs/>
        </w:rPr>
        <w:t>第十</w:t>
      </w:r>
      <w:r>
        <w:rPr>
          <w:rFonts w:hint="eastAsia" w:ascii="微软雅黑" w:hAnsi="微软雅黑" w:eastAsia="微软雅黑" w:cs="微软雅黑"/>
          <w:b/>
          <w:bCs/>
          <w:lang w:eastAsia="zh-CN"/>
        </w:rPr>
        <w:t>四</w:t>
      </w:r>
      <w:r>
        <w:rPr>
          <w:rFonts w:hint="eastAsia" w:ascii="微软雅黑" w:hAnsi="微软雅黑" w:eastAsia="微软雅黑" w:cs="微软雅黑"/>
          <w:b/>
          <w:bCs/>
        </w:rPr>
        <w:t>章</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rPr>
        <w:t>附则</w:t>
      </w:r>
      <w:r>
        <w:rPr>
          <w:rFonts w:hint="eastAsia" w:ascii="微软雅黑" w:hAnsi="微软雅黑" w:eastAsia="微软雅黑" w:cs="微软雅黑"/>
          <w:b/>
          <w:bCs/>
        </w:rPr>
        <w:tab/>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val="zh-CN"/>
        </w:rPr>
        <w:fldChar w:fldCharType="end"/>
      </w:r>
      <w:r>
        <w:rPr>
          <w:rFonts w:hint="eastAsia" w:ascii="微软雅黑" w:hAnsi="微软雅黑" w:eastAsia="微软雅黑" w:cs="微软雅黑"/>
          <w:b/>
          <w:bCs/>
          <w:lang w:val="en-US" w:eastAsia="zh-CN"/>
        </w:rPr>
        <w:t>7</w:t>
      </w:r>
    </w:p>
    <w:p>
      <w:pPr>
        <w:pStyle w:val="55"/>
        <w:tabs>
          <w:tab w:val="right" w:leader="dot" w:pos="8306"/>
        </w:tabs>
        <w:spacing w:line="480" w:lineRule="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fldChar w:fldCharType="begin"/>
      </w:r>
      <w:r>
        <w:rPr>
          <w:rFonts w:hint="eastAsia" w:ascii="微软雅黑" w:hAnsi="微软雅黑" w:eastAsia="微软雅黑" w:cs="微软雅黑"/>
          <w:b/>
          <w:bCs/>
          <w:kern w:val="2"/>
          <w:sz w:val="21"/>
          <w:szCs w:val="22"/>
          <w:lang w:val="en-US" w:eastAsia="zh-CN" w:bidi="ar-SA"/>
        </w:rPr>
        <w:instrText xml:space="preserve"> HYPERLINK \l _Toc28586_WPSOffice_Level1 </w:instrText>
      </w:r>
      <w:r>
        <w:rPr>
          <w:rFonts w:hint="eastAsia" w:ascii="微软雅黑" w:hAnsi="微软雅黑" w:eastAsia="微软雅黑" w:cs="微软雅黑"/>
          <w:b/>
          <w:bCs/>
          <w:kern w:val="2"/>
          <w:sz w:val="21"/>
          <w:szCs w:val="22"/>
          <w:lang w:val="en-US" w:eastAsia="zh-CN" w:bidi="ar-SA"/>
        </w:rPr>
        <w:fldChar w:fldCharType="separate"/>
      </w:r>
      <w:r>
        <w:rPr>
          <w:rFonts w:hint="eastAsia" w:ascii="微软雅黑" w:hAnsi="微软雅黑" w:eastAsia="微软雅黑" w:cs="微软雅黑"/>
          <w:b/>
          <w:bCs/>
          <w:kern w:val="2"/>
          <w:sz w:val="21"/>
          <w:szCs w:val="22"/>
          <w:lang w:val="en-US" w:eastAsia="zh-CN" w:bidi="ar-SA"/>
        </w:rPr>
        <w:t>附表1  龙坪村域三生空间布局统计表</w:t>
      </w:r>
      <w:r>
        <w:rPr>
          <w:rFonts w:hint="eastAsia" w:ascii="微软雅黑" w:hAnsi="微软雅黑" w:eastAsia="微软雅黑" w:cs="微软雅黑"/>
          <w:b/>
          <w:bCs/>
          <w:kern w:val="2"/>
          <w:sz w:val="21"/>
          <w:szCs w:val="22"/>
          <w:lang w:val="en-US" w:eastAsia="zh-CN" w:bidi="ar-SA"/>
        </w:rPr>
        <w:tab/>
      </w:r>
      <w:bookmarkStart w:id="1" w:name="_Toc28586_WPSOffice_Level1Page"/>
      <w:r>
        <w:rPr>
          <w:rFonts w:hint="eastAsia" w:ascii="微软雅黑" w:hAnsi="微软雅黑" w:eastAsia="微软雅黑" w:cs="微软雅黑"/>
          <w:b/>
          <w:bCs/>
          <w:kern w:val="2"/>
          <w:sz w:val="21"/>
          <w:szCs w:val="22"/>
          <w:lang w:val="en-US" w:eastAsia="zh-CN" w:bidi="ar-SA"/>
        </w:rPr>
        <w:t>21</w:t>
      </w:r>
      <w:bookmarkEnd w:id="1"/>
      <w:r>
        <w:rPr>
          <w:rFonts w:hint="eastAsia" w:ascii="微软雅黑" w:hAnsi="微软雅黑" w:eastAsia="微软雅黑" w:cs="微软雅黑"/>
          <w:b/>
          <w:bCs/>
          <w:kern w:val="2"/>
          <w:sz w:val="21"/>
          <w:szCs w:val="22"/>
          <w:lang w:val="en-US" w:eastAsia="zh-CN" w:bidi="ar-SA"/>
        </w:rPr>
        <w:fldChar w:fldCharType="end"/>
      </w:r>
    </w:p>
    <w:p>
      <w:pPr>
        <w:pStyle w:val="55"/>
        <w:tabs>
          <w:tab w:val="right" w:leader="dot" w:pos="8306"/>
        </w:tabs>
        <w:spacing w:line="480" w:lineRule="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fldChar w:fldCharType="begin"/>
      </w:r>
      <w:r>
        <w:rPr>
          <w:rFonts w:hint="eastAsia" w:ascii="微软雅黑" w:hAnsi="微软雅黑" w:eastAsia="微软雅黑" w:cs="微软雅黑"/>
          <w:b/>
          <w:bCs/>
          <w:kern w:val="2"/>
          <w:sz w:val="21"/>
          <w:szCs w:val="22"/>
          <w:lang w:val="en-US" w:eastAsia="zh-CN" w:bidi="ar-SA"/>
        </w:rPr>
        <w:instrText xml:space="preserve"> HYPERLINK \l _Toc12883_WPSOffice_Level1 </w:instrText>
      </w:r>
      <w:r>
        <w:rPr>
          <w:rFonts w:hint="eastAsia" w:ascii="微软雅黑" w:hAnsi="微软雅黑" w:eastAsia="微软雅黑" w:cs="微软雅黑"/>
          <w:b/>
          <w:bCs/>
          <w:kern w:val="2"/>
          <w:sz w:val="21"/>
          <w:szCs w:val="22"/>
          <w:lang w:val="en-US" w:eastAsia="zh-CN" w:bidi="ar-SA"/>
        </w:rPr>
        <w:fldChar w:fldCharType="separate"/>
      </w:r>
      <w:r>
        <w:rPr>
          <w:rFonts w:hint="eastAsia" w:ascii="微软雅黑" w:hAnsi="微软雅黑" w:eastAsia="微软雅黑" w:cs="微软雅黑"/>
          <w:b/>
          <w:bCs/>
          <w:kern w:val="2"/>
          <w:sz w:val="21"/>
          <w:szCs w:val="22"/>
          <w:lang w:val="en-US" w:eastAsia="zh-CN" w:bidi="ar-SA"/>
        </w:rPr>
        <w:t>附表2  龙坪村现状土地利用汇总表</w:t>
      </w:r>
      <w:r>
        <w:rPr>
          <w:rFonts w:hint="eastAsia" w:ascii="微软雅黑" w:hAnsi="微软雅黑" w:eastAsia="微软雅黑" w:cs="微软雅黑"/>
          <w:b/>
          <w:bCs/>
          <w:kern w:val="2"/>
          <w:sz w:val="21"/>
          <w:szCs w:val="22"/>
          <w:lang w:val="en-US" w:eastAsia="zh-CN" w:bidi="ar-SA"/>
        </w:rPr>
        <w:tab/>
      </w:r>
      <w:bookmarkStart w:id="2" w:name="_Toc12883_WPSOffice_Level1Page"/>
      <w:r>
        <w:rPr>
          <w:rFonts w:hint="eastAsia" w:ascii="微软雅黑" w:hAnsi="微软雅黑" w:eastAsia="微软雅黑" w:cs="微软雅黑"/>
          <w:b/>
          <w:bCs/>
          <w:kern w:val="2"/>
          <w:sz w:val="21"/>
          <w:szCs w:val="22"/>
          <w:lang w:val="en-US" w:eastAsia="zh-CN" w:bidi="ar-SA"/>
        </w:rPr>
        <w:t>21</w:t>
      </w:r>
      <w:bookmarkEnd w:id="2"/>
      <w:r>
        <w:rPr>
          <w:rFonts w:hint="eastAsia" w:ascii="微软雅黑" w:hAnsi="微软雅黑" w:eastAsia="微软雅黑" w:cs="微软雅黑"/>
          <w:b/>
          <w:bCs/>
          <w:kern w:val="2"/>
          <w:sz w:val="21"/>
          <w:szCs w:val="22"/>
          <w:lang w:val="en-US" w:eastAsia="zh-CN" w:bidi="ar-SA"/>
        </w:rPr>
        <w:fldChar w:fldCharType="end"/>
      </w:r>
    </w:p>
    <w:p>
      <w:pPr>
        <w:rPr>
          <w:rFonts w:hint="eastAsia"/>
        </w:rPr>
      </w:pPr>
      <w:r>
        <w:rPr>
          <w:rFonts w:hint="eastAsia" w:ascii="微软雅黑" w:hAnsi="微软雅黑" w:eastAsia="微软雅黑" w:cs="微软雅黑"/>
          <w:b/>
          <w:bCs/>
          <w:kern w:val="2"/>
          <w:sz w:val="21"/>
          <w:szCs w:val="22"/>
          <w:lang w:val="en-US" w:eastAsia="zh-CN" w:bidi="ar-SA"/>
        </w:rPr>
        <w:fldChar w:fldCharType="begin"/>
      </w:r>
      <w:r>
        <w:rPr>
          <w:rFonts w:hint="eastAsia" w:ascii="微软雅黑" w:hAnsi="微软雅黑" w:eastAsia="微软雅黑" w:cs="微软雅黑"/>
          <w:b/>
          <w:bCs/>
          <w:kern w:val="2"/>
          <w:sz w:val="21"/>
          <w:szCs w:val="22"/>
          <w:lang w:val="en-US" w:eastAsia="zh-CN" w:bidi="ar-SA"/>
        </w:rPr>
        <w:instrText xml:space="preserve"> HYPERLINK \l _Toc12883_WPSOffice_Level1 </w:instrText>
      </w:r>
      <w:r>
        <w:rPr>
          <w:rFonts w:hint="eastAsia" w:ascii="微软雅黑" w:hAnsi="微软雅黑" w:eastAsia="微软雅黑" w:cs="微软雅黑"/>
          <w:b/>
          <w:bCs/>
          <w:kern w:val="2"/>
          <w:sz w:val="21"/>
          <w:szCs w:val="22"/>
          <w:lang w:val="en-US" w:eastAsia="zh-CN" w:bidi="ar-SA"/>
        </w:rPr>
        <w:fldChar w:fldCharType="separate"/>
      </w:r>
      <w:r>
        <w:rPr>
          <w:rFonts w:hint="eastAsia" w:ascii="微软雅黑" w:hAnsi="微软雅黑" w:eastAsia="微软雅黑" w:cs="微软雅黑"/>
          <w:b/>
          <w:bCs/>
          <w:kern w:val="2"/>
          <w:sz w:val="21"/>
          <w:szCs w:val="22"/>
          <w:lang w:val="en-US" w:eastAsia="zh-CN" w:bidi="ar-SA"/>
        </w:rPr>
        <w:t>附表3  龙坪村土地利用规划地类统计表</w:t>
      </w:r>
      <w:r>
        <w:rPr>
          <w:rFonts w:hint="eastAsia" w:ascii="微软雅黑" w:hAnsi="微软雅黑" w:eastAsia="微软雅黑" w:cs="微软雅黑"/>
          <w:b w:val="0"/>
          <w:bCs w:val="0"/>
          <w:kern w:val="2"/>
          <w:sz w:val="21"/>
          <w:szCs w:val="22"/>
          <w:lang w:val="en-US" w:eastAsia="zh-CN" w:bidi="ar-SA"/>
        </w:rPr>
        <w:t>.....................................................................................</w:t>
      </w:r>
      <w:r>
        <w:rPr>
          <w:rFonts w:hint="eastAsia" w:ascii="微软雅黑" w:hAnsi="微软雅黑" w:eastAsia="微软雅黑" w:cs="微软雅黑"/>
          <w:b/>
          <w:bCs/>
          <w:kern w:val="2"/>
          <w:sz w:val="21"/>
          <w:szCs w:val="22"/>
          <w:lang w:val="en-US" w:eastAsia="zh-CN" w:bidi="ar-SA"/>
        </w:rPr>
        <w:t>21</w:t>
      </w:r>
      <w:r>
        <w:rPr>
          <w:rFonts w:hint="eastAsia" w:ascii="微软雅黑" w:hAnsi="微软雅黑" w:eastAsia="微软雅黑" w:cs="微软雅黑"/>
          <w:b/>
          <w:bCs/>
          <w:kern w:val="2"/>
          <w:sz w:val="21"/>
          <w:szCs w:val="22"/>
          <w:lang w:val="en-US" w:eastAsia="zh-CN" w:bidi="ar-SA"/>
        </w:rPr>
        <w:fldChar w:fldCharType="end"/>
      </w:r>
    </w:p>
    <w:p>
      <w:pPr>
        <w:rPr>
          <w:rFonts w:hint="eastAsia"/>
        </w:rPr>
      </w:pP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b/>
          <w:bC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lang w:val="zh-CN"/>
        </w:rPr>
        <w:sectPr>
          <w:footerReference r:id="rId5" w:type="default"/>
          <w:footerReference r:id="rId6" w:type="even"/>
          <w:pgSz w:w="11906" w:h="16838"/>
          <w:pgMar w:top="1440" w:right="1800" w:bottom="1440" w:left="1800" w:header="851" w:footer="992" w:gutter="0"/>
          <w:pgNumType w:fmt="upperRoman" w:start="1"/>
          <w:cols w:space="720" w:num="1"/>
          <w:docGrid w:type="lines" w:linePitch="312" w:charSpace="0"/>
        </w:sectPr>
      </w:pPr>
      <w:r>
        <w:rPr>
          <w:rFonts w:hint="eastAsia" w:ascii="微软雅黑" w:hAnsi="微软雅黑" w:eastAsia="微软雅黑" w:cs="微软雅黑"/>
          <w:b/>
          <w:bCs/>
          <w:szCs w:val="21"/>
          <w:lang w:val="zh-CN"/>
        </w:rPr>
        <w:fldChar w:fldCharType="end"/>
      </w:r>
    </w:p>
    <w:p>
      <w:pPr>
        <w:spacing w:line="360" w:lineRule="auto"/>
        <w:jc w:val="center"/>
        <w:outlineLvl w:val="0"/>
        <w:rPr>
          <w:rFonts w:hint="eastAsia" w:ascii="微软雅黑" w:hAnsi="微软雅黑" w:eastAsia="微软雅黑" w:cs="微软雅黑"/>
          <w:b/>
          <w:color w:val="000000"/>
          <w:sz w:val="32"/>
          <w:szCs w:val="32"/>
          <w:lang w:val="en-US" w:eastAsia="zh-CN"/>
        </w:rPr>
      </w:pPr>
      <w:bookmarkStart w:id="3" w:name="_Toc488239681"/>
      <w:bookmarkStart w:id="4" w:name="_Toc23558"/>
      <w:bookmarkStart w:id="5" w:name="_Toc426359969"/>
      <w:bookmarkStart w:id="6" w:name="_Toc447132900"/>
      <w:r>
        <w:rPr>
          <w:rFonts w:hint="eastAsia" w:ascii="微软雅黑" w:hAnsi="微软雅黑" w:eastAsia="微软雅黑" w:cs="微软雅黑"/>
          <w:b/>
          <w:color w:val="000000"/>
          <w:sz w:val="32"/>
          <w:szCs w:val="32"/>
          <w:lang w:val="en-US" w:eastAsia="zh-CN"/>
        </w:rPr>
        <w:t>文    本</w:t>
      </w:r>
    </w:p>
    <w:p>
      <w:pPr>
        <w:spacing w:line="360" w:lineRule="auto"/>
        <w:jc w:val="center"/>
        <w:outlineLvl w:val="0"/>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8"/>
          <w:szCs w:val="24"/>
        </w:rPr>
        <w:t>第一章 总  则</w:t>
      </w:r>
      <w:bookmarkEnd w:id="3"/>
    </w:p>
    <w:p>
      <w:pPr>
        <w:spacing w:line="360" w:lineRule="auto"/>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第一条 规划背景</w:t>
      </w:r>
    </w:p>
    <w:p>
      <w:pPr>
        <w:spacing w:line="360" w:lineRule="auto"/>
        <w:ind w:firstLine="480" w:firstLineChars="200"/>
        <w:rPr>
          <w:rFonts w:hint="eastAsia" w:ascii="微软雅黑" w:hAnsi="微软雅黑" w:eastAsia="微软雅黑" w:cs="微软雅黑"/>
          <w:sz w:val="24"/>
          <w:lang w:val="en-US" w:eastAsia="zh-CN"/>
        </w:rPr>
      </w:pPr>
      <w:bookmarkStart w:id="7" w:name="_Toc447132902"/>
      <w:bookmarkStart w:id="8" w:name="_Toc17560"/>
      <w:r>
        <w:rPr>
          <w:rFonts w:hint="eastAsia" w:ascii="微软雅黑" w:hAnsi="微软雅黑" w:eastAsia="微软雅黑" w:cs="微软雅黑"/>
          <w:sz w:val="24"/>
          <w:lang w:val="en-US" w:eastAsia="zh-CN"/>
        </w:rPr>
        <w:t>为贯彻落实党的十八大关于建设美丽中国、增强小城镇功能，深入推进新农村建设的精神，实现梁平区域城乡统筹发展，建设全面小康的新农村，有效指导石安镇龙坪村规划建设，实现“田园美、村庄美、生活美”的美丽乡村目标，特编制《重庆市梁平区石安镇龙坪村村规划（2019-2035年）》，以下简称本规划。</w:t>
      </w:r>
    </w:p>
    <w:bookmarkEnd w:id="7"/>
    <w:bookmarkEnd w:id="8"/>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第二条 指导思想</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按照2016年重庆市农村工作会议提出的“全面建成小康、收入赶上全国、农业转型升级、缩小城乡差距”的农村工作基本思路，全面落实创新、协调、绿色、开放、共享的发展理念，紧紧围绕发展现代农业、增加农民收入、建设社会主义新农村三大任务，着眼推进农业供给侧结构性改革，以如期完成脱贫攻坚和全面建成小康社会为目标，以“三农问题的核心是农民问题、农民问题的根本是利益问题、利益问题的关键是收入问题”为主线，扎实推进美丽乡村建设，充分适应农村发展和生态文明建设需求，改善农村人居环境和生产条件，促进城乡协调和可持续发展。</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第三条 规划范围</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本次规划范围为龙坪村行政村域，幅员面积约6.58平方公里，包括8个村民小组。</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第四条 规划依据</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1、《中华人民共和国城乡规划法》</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2、《中华人民共和国土地管理法》</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3、《中华人民共和国林业法》</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4、《中华人民共和国环境保护法》</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5、《国务院关于推进重庆市统筹城乡改革和发展的若干意见》</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6、《重庆市土地管理规定》</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7、《重庆市城乡规划条例》</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8、《重庆市村规划技术导则（2015年试行）》</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9、《重庆市村规划编制办法（2015年试行）》</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10、《重庆市人民政府关于用好农业农村发展用地政策促进农民增收的指导意见（试行）》</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11、《重庆市规划局、重庆市国土房管局关于村规划编制工作的指导意见》</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12、《石安镇土地利用总体规划（2006-2020年）》</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13、《梁平区石安镇总体规划（2013-2030年）》</w:t>
      </w:r>
    </w:p>
    <w:p>
      <w:pPr>
        <w:spacing w:line="360" w:lineRule="auto"/>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14、《重庆市梁平区城乡总体规划（2014-2030）》（市政府常务审定稿）</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第六条 规划期限</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本规划期限为201</w:t>
      </w:r>
      <w:r>
        <w:rPr>
          <w:rFonts w:hint="eastAsia" w:ascii="微软雅黑" w:hAnsi="微软雅黑" w:eastAsia="微软雅黑" w:cs="微软雅黑"/>
          <w:sz w:val="24"/>
          <w:lang w:val="en-US" w:eastAsia="zh-CN"/>
        </w:rPr>
        <w:t>9</w:t>
      </w:r>
      <w:r>
        <w:rPr>
          <w:rFonts w:hint="eastAsia" w:ascii="微软雅黑" w:hAnsi="微软雅黑" w:eastAsia="微软雅黑" w:cs="微软雅黑"/>
          <w:sz w:val="24"/>
        </w:rPr>
        <w:t>—20</w:t>
      </w:r>
      <w:r>
        <w:rPr>
          <w:rFonts w:hint="eastAsia" w:ascii="微软雅黑" w:hAnsi="微软雅黑" w:eastAsia="微软雅黑" w:cs="微软雅黑"/>
          <w:sz w:val="24"/>
          <w:lang w:val="en-US" w:eastAsia="zh-CN"/>
        </w:rPr>
        <w:t>35</w:t>
      </w:r>
      <w:r>
        <w:rPr>
          <w:rFonts w:hint="eastAsia" w:ascii="微软雅黑" w:hAnsi="微软雅黑" w:eastAsia="微软雅黑" w:cs="微软雅黑"/>
          <w:sz w:val="24"/>
        </w:rPr>
        <w:t>年。</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第七条 规划目标</w:t>
      </w:r>
    </w:p>
    <w:p>
      <w:pPr>
        <w:spacing w:line="360" w:lineRule="auto"/>
        <w:ind w:firstLine="420"/>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全村现状以传统生态种植业为主。20</w:t>
      </w:r>
      <w:r>
        <w:rPr>
          <w:rFonts w:hint="eastAsia" w:ascii="微软雅黑" w:hAnsi="微软雅黑" w:eastAsia="微软雅黑" w:cs="微软雅黑"/>
          <w:sz w:val="24"/>
          <w:lang w:val="en-US" w:eastAsia="zh-CN"/>
        </w:rPr>
        <w:t>20</w:t>
      </w:r>
      <w:r>
        <w:rPr>
          <w:rFonts w:hint="eastAsia" w:ascii="微软雅黑" w:hAnsi="微软雅黑" w:eastAsia="微软雅黑" w:cs="微软雅黑"/>
          <w:sz w:val="24"/>
          <w:lang w:eastAsia="zh-CN"/>
        </w:rPr>
        <w:t>年村民人均年收入约为</w:t>
      </w:r>
      <w:r>
        <w:rPr>
          <w:rFonts w:hint="eastAsia" w:ascii="微软雅黑" w:hAnsi="微软雅黑" w:eastAsia="微软雅黑" w:cs="微软雅黑"/>
          <w:sz w:val="24"/>
          <w:lang w:val="en-US" w:eastAsia="zh-CN"/>
        </w:rPr>
        <w:t>10200</w:t>
      </w:r>
      <w:r>
        <w:rPr>
          <w:rFonts w:hint="eastAsia" w:ascii="微软雅黑" w:hAnsi="微软雅黑" w:eastAsia="微软雅黑" w:cs="微软雅黑"/>
          <w:sz w:val="24"/>
          <w:lang w:eastAsia="zh-CN"/>
        </w:rPr>
        <w:t>元</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lang w:eastAsia="zh-CN"/>
        </w:rPr>
        <w:t>收入来源主要是种殖、外出打工。</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lang w:eastAsia="zh-CN"/>
        </w:rPr>
        <w:t>梁平区</w:t>
      </w:r>
      <w:r>
        <w:rPr>
          <w:rFonts w:hint="eastAsia" w:ascii="微软雅黑" w:hAnsi="微软雅黑" w:eastAsia="微软雅黑" w:cs="微软雅黑"/>
          <w:sz w:val="24"/>
        </w:rPr>
        <w:t>农村居民人均纯收入201</w:t>
      </w:r>
      <w:r>
        <w:rPr>
          <w:rFonts w:hint="eastAsia" w:ascii="微软雅黑" w:hAnsi="微软雅黑" w:eastAsia="微软雅黑" w:cs="微软雅黑"/>
          <w:sz w:val="24"/>
          <w:lang w:val="en-US" w:eastAsia="zh-CN"/>
        </w:rPr>
        <w:t>1</w:t>
      </w:r>
      <w:r>
        <w:rPr>
          <w:rFonts w:hint="eastAsia" w:ascii="微软雅黑" w:hAnsi="微软雅黑" w:eastAsia="微软雅黑" w:cs="微软雅黑"/>
          <w:sz w:val="24"/>
        </w:rPr>
        <w:t>年到20</w:t>
      </w:r>
      <w:r>
        <w:rPr>
          <w:rFonts w:hint="eastAsia" w:ascii="微软雅黑" w:hAnsi="微软雅黑" w:eastAsia="微软雅黑" w:cs="微软雅黑"/>
          <w:sz w:val="24"/>
          <w:lang w:val="en-US" w:eastAsia="zh-CN"/>
        </w:rPr>
        <w:t>20</w:t>
      </w:r>
      <w:r>
        <w:rPr>
          <w:rFonts w:hint="eastAsia" w:ascii="微软雅黑" w:hAnsi="微软雅黑" w:eastAsia="微软雅黑" w:cs="微软雅黑"/>
          <w:sz w:val="24"/>
        </w:rPr>
        <w:t>年年均增长率为1</w:t>
      </w:r>
      <w:r>
        <w:rPr>
          <w:rFonts w:hint="eastAsia" w:ascii="微软雅黑" w:hAnsi="微软雅黑" w:eastAsia="微软雅黑" w:cs="微软雅黑"/>
          <w:sz w:val="24"/>
          <w:lang w:val="en-US" w:eastAsia="zh-CN"/>
        </w:rPr>
        <w:t>0</w:t>
      </w:r>
      <w:r>
        <w:rPr>
          <w:rFonts w:hint="eastAsia" w:ascii="微软雅黑" w:hAnsi="微软雅黑" w:eastAsia="微软雅黑" w:cs="微软雅黑"/>
          <w:sz w:val="24"/>
        </w:rPr>
        <w:t>.1%，随着</w:t>
      </w:r>
      <w:r>
        <w:rPr>
          <w:rFonts w:hint="eastAsia" w:ascii="微软雅黑" w:hAnsi="微软雅黑" w:eastAsia="微软雅黑" w:cs="微软雅黑"/>
          <w:sz w:val="24"/>
          <w:lang w:eastAsia="zh-CN"/>
        </w:rPr>
        <w:t>石安镇村</w:t>
      </w:r>
      <w:r>
        <w:rPr>
          <w:rFonts w:hint="eastAsia" w:ascii="微软雅黑" w:hAnsi="微软雅黑" w:eastAsia="微软雅黑" w:cs="微软雅黑"/>
          <w:sz w:val="24"/>
        </w:rPr>
        <w:t>旅游产业发展和扶贫政策的落实，规划将</w:t>
      </w:r>
      <w:r>
        <w:rPr>
          <w:rFonts w:hint="eastAsia" w:ascii="微软雅黑" w:hAnsi="微软雅黑" w:eastAsia="微软雅黑" w:cs="微软雅黑"/>
          <w:sz w:val="24"/>
          <w:lang w:eastAsia="zh-CN"/>
        </w:rPr>
        <w:t>龙坪村近期（近期至202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人均纯收入的增长水平定15%，根据指数增长模型：I=I</w:t>
      </w:r>
      <w:r>
        <w:rPr>
          <w:rFonts w:hint="eastAsia" w:ascii="微软雅黑" w:hAnsi="微软雅黑" w:eastAsia="微软雅黑" w:cs="微软雅黑"/>
          <w:sz w:val="24"/>
          <w:vertAlign w:val="subscript"/>
        </w:rPr>
        <w:t>0</w:t>
      </w:r>
      <w:r>
        <w:rPr>
          <w:rFonts w:hint="eastAsia" w:ascii="微软雅黑" w:hAnsi="微软雅黑" w:eastAsia="微软雅黑" w:cs="微软雅黑"/>
          <w:sz w:val="24"/>
        </w:rPr>
        <w:t>（1+r）</w:t>
      </w:r>
      <w:r>
        <w:rPr>
          <w:rFonts w:hint="eastAsia" w:ascii="微软雅黑" w:hAnsi="微软雅黑" w:eastAsia="微软雅黑" w:cs="微软雅黑"/>
          <w:sz w:val="24"/>
          <w:vertAlign w:val="superscript"/>
        </w:rPr>
        <w:t>n</w:t>
      </w:r>
      <w:r>
        <w:rPr>
          <w:rFonts w:hint="eastAsia" w:ascii="微软雅黑" w:hAnsi="微软雅黑" w:eastAsia="微软雅黑" w:cs="微软雅黑"/>
          <w:sz w:val="24"/>
        </w:rPr>
        <w:t>：</w:t>
      </w:r>
    </w:p>
    <w:p>
      <w:pPr>
        <w:spacing w:line="360" w:lineRule="auto"/>
        <w:ind w:firstLine="460" w:firstLineChars="192"/>
        <w:rPr>
          <w:rFonts w:hint="eastAsia" w:ascii="微软雅黑" w:hAnsi="微软雅黑" w:eastAsia="微软雅黑" w:cs="微软雅黑"/>
          <w:sz w:val="24"/>
        </w:rPr>
      </w:pP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，村域人均纯收入：</w:t>
      </w:r>
      <w:r>
        <w:rPr>
          <w:rFonts w:hint="eastAsia" w:ascii="微软雅黑" w:hAnsi="微软雅黑" w:eastAsia="微软雅黑" w:cs="微软雅黑"/>
          <w:sz w:val="24"/>
          <w:lang w:val="en-US" w:eastAsia="zh-CN"/>
        </w:rPr>
        <w:t>10200</w:t>
      </w:r>
      <w:r>
        <w:rPr>
          <w:rFonts w:hint="eastAsia" w:ascii="微软雅黑" w:hAnsi="微软雅黑" w:eastAsia="微软雅黑" w:cs="微软雅黑"/>
          <w:sz w:val="24"/>
        </w:rPr>
        <w:t>（1+15%）</w:t>
      </w:r>
      <w:r>
        <w:rPr>
          <w:rFonts w:hint="eastAsia" w:ascii="微软雅黑" w:hAnsi="微软雅黑" w:eastAsia="微软雅黑" w:cs="微软雅黑"/>
          <w:sz w:val="24"/>
          <w:vertAlign w:val="superscript"/>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sz w:val="24"/>
          <w:szCs w:val="24"/>
          <w:lang w:val="en-US" w:eastAsia="zh-CN"/>
        </w:rPr>
        <w:t>20515</w:t>
      </w:r>
      <w:r>
        <w:rPr>
          <w:rFonts w:hint="eastAsia" w:ascii="微软雅黑" w:hAnsi="微软雅黑" w:eastAsia="微软雅黑" w:cs="微软雅黑"/>
          <w:sz w:val="24"/>
          <w:szCs w:val="24"/>
        </w:rPr>
        <w:t>，取</w:t>
      </w:r>
      <w:r>
        <w:rPr>
          <w:rFonts w:hint="eastAsia" w:ascii="微软雅黑" w:hAnsi="微软雅黑" w:eastAsia="微软雅黑" w:cs="微软雅黑"/>
          <w:sz w:val="24"/>
          <w:szCs w:val="24"/>
          <w:lang w:val="en-US" w:eastAsia="zh-CN"/>
        </w:rPr>
        <w:t>20000</w:t>
      </w:r>
      <w:r>
        <w:rPr>
          <w:rFonts w:hint="eastAsia" w:ascii="微软雅黑" w:hAnsi="微软雅黑" w:eastAsia="微软雅黑" w:cs="微软雅黑"/>
          <w:sz w:val="24"/>
          <w:szCs w:val="24"/>
        </w:rPr>
        <w:t>元</w:t>
      </w:r>
      <w:r>
        <w:rPr>
          <w:rFonts w:hint="eastAsia" w:ascii="微软雅黑" w:hAnsi="微软雅黑" w:eastAsia="微软雅黑" w:cs="微软雅黑"/>
          <w:sz w:val="24"/>
        </w:rPr>
        <w:t>。</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规划到</w:t>
      </w:r>
      <w:r>
        <w:rPr>
          <w:rFonts w:hint="eastAsia" w:ascii="微软雅黑" w:hAnsi="微软雅黑" w:eastAsia="微软雅黑" w:cs="微软雅黑"/>
          <w:sz w:val="24"/>
          <w:lang w:eastAsia="zh-CN"/>
        </w:rPr>
        <w:t>近期</w:t>
      </w:r>
      <w:r>
        <w:rPr>
          <w:rFonts w:hint="eastAsia" w:ascii="微软雅黑" w:hAnsi="微软雅黑" w:eastAsia="微软雅黑" w:cs="微软雅黑"/>
          <w:sz w:val="24"/>
        </w:rPr>
        <w:t>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年：经济发展方面，农业形成</w:t>
      </w:r>
      <w:r>
        <w:rPr>
          <w:rFonts w:hint="eastAsia" w:ascii="微软雅黑" w:hAnsi="微软雅黑" w:eastAsia="微软雅黑" w:cs="微软雅黑"/>
          <w:sz w:val="24"/>
          <w:lang w:eastAsia="zh-CN"/>
        </w:rPr>
        <w:t>规模化的生态蔬菜种植基地</w:t>
      </w:r>
      <w:r>
        <w:rPr>
          <w:rFonts w:hint="eastAsia" w:ascii="微软雅黑" w:hAnsi="微软雅黑" w:eastAsia="微软雅黑" w:cs="微软雅黑"/>
          <w:sz w:val="24"/>
        </w:rPr>
        <w:t>；农村合作经济组织农户参合率达到50％以上，农业耕种收机械化水平每年提高30％以上，农民年人均纯收入在现有基础上增长达到</w:t>
      </w:r>
      <w:r>
        <w:rPr>
          <w:rFonts w:hint="eastAsia" w:ascii="微软雅黑" w:hAnsi="微软雅黑" w:eastAsia="微软雅黑" w:cs="微软雅黑"/>
          <w:sz w:val="24"/>
          <w:szCs w:val="24"/>
          <w:lang w:val="en-US" w:eastAsia="zh-CN"/>
        </w:rPr>
        <w:t>20000</w:t>
      </w:r>
      <w:r>
        <w:rPr>
          <w:rFonts w:hint="eastAsia" w:ascii="微软雅黑" w:hAnsi="微软雅黑" w:eastAsia="微软雅黑" w:cs="微软雅黑"/>
          <w:sz w:val="24"/>
        </w:rPr>
        <w:t>元，80％以上农户有较稳定的增收来源，全村致富。社会发展方面，完善集中各居民点相关配套，网络普及率100％，建立农村养老保险和最低生活保障制度，五保户集中供养率达到90％以上；基础设施方面通村公路油化或硬化，主要生产、生活道路硬化，各集中居民点配置垃圾收集点，完善污水处理设施，农户有单独卫生的厨房和厕所，农户住房砖混结构达到100％。</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第八条 法律规定</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本规划成果由《重庆市梁平区石安镇龙坪村村规划（2019-2035年）》文本、说明书、规划图纸及相关附件四部分组成。其中，规划文本与规划图纸经批准后具有法律效力。</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第九条 适用范围</w:t>
      </w:r>
    </w:p>
    <w:p>
      <w:pPr>
        <w:spacing w:line="360" w:lineRule="auto"/>
        <w:ind w:firstLine="420"/>
        <w:rPr>
          <w:rFonts w:hint="eastAsia" w:ascii="微软雅黑" w:hAnsi="微软雅黑" w:eastAsia="微软雅黑" w:cs="微软雅黑"/>
          <w:lang w:eastAsia="zh-CN"/>
        </w:rPr>
      </w:pPr>
      <w:r>
        <w:rPr>
          <w:rFonts w:hint="eastAsia" w:ascii="微软雅黑" w:hAnsi="微软雅黑" w:eastAsia="微软雅黑" w:cs="微软雅黑"/>
          <w:sz w:val="24"/>
          <w:szCs w:val="24"/>
        </w:rPr>
        <w:t>凡在</w:t>
      </w:r>
      <w:r>
        <w:rPr>
          <w:rFonts w:hint="eastAsia" w:ascii="微软雅黑" w:hAnsi="微软雅黑" w:eastAsia="微软雅黑" w:cs="微软雅黑"/>
          <w:kern w:val="2"/>
          <w:sz w:val="24"/>
          <w:szCs w:val="28"/>
          <w:lang w:val="en-US" w:eastAsia="zh-CN" w:bidi="ar-SA"/>
        </w:rPr>
        <w:t>石安镇龙坪村</w:t>
      </w:r>
      <w:r>
        <w:rPr>
          <w:rFonts w:hint="eastAsia" w:ascii="微软雅黑" w:hAnsi="微软雅黑" w:eastAsia="微软雅黑" w:cs="微软雅黑"/>
          <w:sz w:val="24"/>
          <w:szCs w:val="24"/>
        </w:rPr>
        <w:t>规划范围内从事各项规划编制、规划管理和开展与村规划有关的建设活动均应按本规划执行。</w:t>
      </w:r>
    </w:p>
    <w:bookmarkEnd w:id="4"/>
    <w:bookmarkEnd w:id="5"/>
    <w:bookmarkEnd w:id="6"/>
    <w:p>
      <w:pPr>
        <w:spacing w:line="360" w:lineRule="auto"/>
        <w:jc w:val="center"/>
        <w:outlineLvl w:val="0"/>
        <w:rPr>
          <w:rFonts w:hint="eastAsia" w:ascii="微软雅黑" w:hAnsi="微软雅黑" w:eastAsia="微软雅黑" w:cs="微软雅黑"/>
          <w:b/>
          <w:color w:val="000000"/>
          <w:sz w:val="28"/>
          <w:szCs w:val="24"/>
        </w:rPr>
      </w:pPr>
      <w:bookmarkStart w:id="9" w:name="_Toc488239682"/>
      <w:r>
        <w:rPr>
          <w:rFonts w:hint="eastAsia" w:ascii="微软雅黑" w:hAnsi="微软雅黑" w:eastAsia="微软雅黑" w:cs="微软雅黑"/>
          <w:b/>
          <w:color w:val="000000"/>
          <w:sz w:val="28"/>
          <w:szCs w:val="24"/>
        </w:rPr>
        <w:t>第二章 村域人口规模预测</w:t>
      </w:r>
      <w:bookmarkEnd w:id="9"/>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第十条 </w:t>
      </w:r>
      <w:r>
        <w:rPr>
          <w:rFonts w:hint="eastAsia" w:ascii="微软雅黑" w:hAnsi="微软雅黑" w:eastAsia="微软雅黑" w:cs="微软雅黑"/>
          <w:b/>
          <w:sz w:val="24"/>
          <w:szCs w:val="24"/>
          <w:lang w:eastAsia="zh-CN"/>
        </w:rPr>
        <w:t>石安镇</w:t>
      </w:r>
      <w:r>
        <w:rPr>
          <w:rFonts w:hint="eastAsia" w:ascii="微软雅黑" w:hAnsi="微软雅黑" w:eastAsia="微软雅黑" w:cs="微软雅黑"/>
          <w:b/>
          <w:sz w:val="24"/>
          <w:szCs w:val="24"/>
        </w:rPr>
        <w:t>人口发展分析</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在重庆市城乡总体规划的指引下，随着重庆经济的快速发展，结合城乡统筹部署，将进一步吸纳农村人口进入城镇。根据《梁平区石安镇总体规划（2013-2030年）》对石安镇龙坪村农村人口的统筹安排，到2020年石安镇城镇化水平为58.57%，城镇人口为16000人，农村人口为</w:t>
      </w:r>
      <w:r>
        <w:rPr>
          <w:rFonts w:hint="eastAsia" w:ascii="微软雅黑" w:hAnsi="微软雅黑" w:eastAsia="微软雅黑" w:cs="微软雅黑"/>
          <w:kern w:val="2"/>
          <w:sz w:val="24"/>
          <w:szCs w:val="28"/>
          <w:lang w:val="zh-CN" w:eastAsia="zh-CN" w:bidi="ar-SA"/>
        </w:rPr>
        <w:t>27382</w:t>
      </w:r>
      <w:r>
        <w:rPr>
          <w:rFonts w:hint="eastAsia" w:ascii="微软雅黑" w:hAnsi="微软雅黑" w:eastAsia="微软雅黑" w:cs="微软雅黑"/>
          <w:kern w:val="2"/>
          <w:sz w:val="24"/>
          <w:szCs w:val="28"/>
          <w:lang w:val="en-US" w:eastAsia="zh-CN" w:bidi="ar-SA"/>
        </w:rPr>
        <w:t>人（现状为27400人），农村人口呈减少趋势。</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第十一条 </w:t>
      </w:r>
      <w:r>
        <w:rPr>
          <w:rFonts w:hint="eastAsia" w:ascii="微软雅黑" w:hAnsi="微软雅黑" w:eastAsia="微软雅黑" w:cs="微软雅黑"/>
          <w:b/>
          <w:sz w:val="24"/>
          <w:szCs w:val="24"/>
          <w:lang w:eastAsia="zh-CN"/>
        </w:rPr>
        <w:t>龙坪村</w:t>
      </w:r>
      <w:r>
        <w:rPr>
          <w:rFonts w:hint="eastAsia" w:ascii="微软雅黑" w:hAnsi="微软雅黑" w:eastAsia="微软雅黑" w:cs="微软雅黑"/>
          <w:b/>
          <w:sz w:val="24"/>
          <w:szCs w:val="24"/>
        </w:rPr>
        <w:t>人口发展分析</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截至2020年12月底，龙坪村户籍户数为725户，户籍人口共2301人，户均人口3.17人/户，共有劳动力1200人。户籍人口流动规模较大，外出务工人口达830人，约占劳动力人口69.17</w:t>
      </w:r>
      <w:r>
        <w:rPr>
          <w:rFonts w:hint="eastAsia" w:ascii="微软雅黑" w:hAnsi="微软雅黑" w:eastAsia="微软雅黑" w:cs="微软雅黑"/>
          <w:kern w:val="2"/>
          <w:sz w:val="24"/>
          <w:szCs w:val="28"/>
          <w:lang w:val="zh-CN" w:eastAsia="zh-CN" w:bidi="ar-SA"/>
        </w:rPr>
        <w:t>%</w:t>
      </w:r>
      <w:r>
        <w:rPr>
          <w:rFonts w:hint="eastAsia" w:ascii="微软雅黑" w:hAnsi="微软雅黑" w:eastAsia="微软雅黑" w:cs="微软雅黑"/>
          <w:kern w:val="2"/>
          <w:sz w:val="24"/>
          <w:szCs w:val="28"/>
          <w:lang w:val="en-US" w:eastAsia="zh-CN" w:bidi="ar-SA"/>
        </w:rPr>
        <w:t>。截至2020年底，龙坪村常住人口仅1188人，呈现出净流出状态。</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 xml:space="preserve">第十二条 </w:t>
      </w:r>
      <w:r>
        <w:rPr>
          <w:rFonts w:hint="eastAsia" w:ascii="微软雅黑" w:hAnsi="微软雅黑" w:eastAsia="微软雅黑" w:cs="微软雅黑"/>
          <w:b/>
          <w:sz w:val="24"/>
          <w:szCs w:val="24"/>
          <w:lang w:eastAsia="zh-CN"/>
        </w:rPr>
        <w:t>龙坪村</w:t>
      </w:r>
      <w:r>
        <w:rPr>
          <w:rFonts w:hint="eastAsia" w:ascii="微软雅黑" w:hAnsi="微软雅黑" w:eastAsia="微软雅黑" w:cs="微软雅黑"/>
          <w:b/>
          <w:sz w:val="24"/>
          <w:szCs w:val="24"/>
        </w:rPr>
        <w:t>总人口预测</w:t>
      </w:r>
    </w:p>
    <w:p>
      <w:pPr>
        <w:spacing w:line="360" w:lineRule="auto"/>
        <w:ind w:firstLine="480" w:firstLineChars="200"/>
        <w:rPr>
          <w:rFonts w:hint="eastAsia" w:ascii="微软雅黑" w:hAnsi="微软雅黑" w:eastAsia="微软雅黑" w:cs="微软雅黑"/>
          <w:kern w:val="2"/>
          <w:sz w:val="24"/>
          <w:szCs w:val="28"/>
          <w:lang w:val="en-US" w:eastAsia="zh-CN" w:bidi="ar-SA"/>
        </w:rPr>
      </w:pPr>
      <w:bookmarkStart w:id="10" w:name="_Toc488239683"/>
      <w:r>
        <w:rPr>
          <w:rFonts w:hint="eastAsia" w:ascii="微软雅黑" w:hAnsi="微软雅黑" w:eastAsia="微软雅黑" w:cs="微软雅黑"/>
          <w:kern w:val="2"/>
          <w:sz w:val="24"/>
          <w:szCs w:val="28"/>
          <w:lang w:val="en-US" w:eastAsia="zh-CN" w:bidi="ar-SA"/>
        </w:rPr>
        <w:t>龙坪村现状总人口2301人，根据历年人口的自然增长和农业剩余劳力的转移因素进行计算人口变化的情况，规划按综合平衡法计算总人口：</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QA=QA0（1+K+P）N</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式中，QA——全村总人口发展规模预测数</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QA0——现状人总人口</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K——规划期内年平均人口自然增长率</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P——年平均人口机械率</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N——规划年限</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龙坪村人口规模存在不确定性，科学的人口规模预测应该是具有一定幅度和弹性的值域，一般包括高、中、低三个系列。</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龙坪村近5年平均人口自然增长率为2.8‰（五普资料），平均常年外出务工未归人数与总人数的比例-3%作为年均人口机械增长率。</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1、高方案：</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规划近期至2025年，由于二孩政策全面放开，规划人口年均自然增长率提高至4‰，年均人口机械增长率维持在-3%左右。</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近期，近期至2025年，总人口：2301</w:t>
      </w: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w:t>
      </w:r>
      <w:r>
        <w:rPr>
          <w:rFonts w:hint="eastAsia" w:ascii="微软雅黑" w:hAnsi="微软雅黑" w:eastAsia="微软雅黑" w:cs="微软雅黑"/>
          <w:sz w:val="24"/>
          <w:vertAlign w:val="superscript"/>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kern w:val="2"/>
          <w:sz w:val="24"/>
          <w:szCs w:val="28"/>
          <w:lang w:val="en-US" w:eastAsia="zh-CN" w:bidi="ar-SA"/>
        </w:rPr>
        <w:t>2017</w:t>
      </w:r>
      <w:r>
        <w:rPr>
          <w:rFonts w:hint="eastAsia" w:ascii="微软雅黑" w:hAnsi="微软雅黑" w:eastAsia="微软雅黑" w:cs="微软雅黑"/>
          <w:sz w:val="24"/>
        </w:rPr>
        <w:t xml:space="preserve">人   </w:t>
      </w:r>
      <w:r>
        <w:rPr>
          <w:rFonts w:hint="eastAsia" w:ascii="微软雅黑" w:hAnsi="微软雅黑" w:eastAsia="微软雅黑" w:cs="微软雅黑"/>
          <w:kern w:val="2"/>
          <w:sz w:val="24"/>
          <w:szCs w:val="28"/>
          <w:lang w:val="en-US" w:eastAsia="zh-CN" w:bidi="ar-SA"/>
        </w:rPr>
        <w:t xml:space="preserve">   </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2、低方案：</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由于梁忠高速公路的贯通，未来城区聚集能力加强，村人口外流进一步加大。规划近期至2025年，人口年均自然增长率在2.8‰，年均人口机械增长率维持在-4%左右。</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近期至2025年，总人口：2301</w:t>
      </w:r>
      <w:r>
        <w:rPr>
          <w:rFonts w:hint="eastAsia" w:ascii="微软雅黑" w:hAnsi="微软雅黑" w:eastAsia="微软雅黑" w:cs="微软雅黑"/>
          <w:sz w:val="24"/>
        </w:rPr>
        <w:t>×（1+2.</w:t>
      </w:r>
      <w:r>
        <w:rPr>
          <w:rFonts w:hint="eastAsia" w:ascii="微软雅黑" w:hAnsi="微软雅黑" w:eastAsia="微软雅黑" w:cs="微软雅黑"/>
          <w:sz w:val="24"/>
          <w:lang w:val="en-US" w:eastAsia="zh-CN"/>
        </w:rPr>
        <w:t>8</w:t>
      </w:r>
      <w:r>
        <w:rPr>
          <w:rFonts w:hint="eastAsia" w:ascii="微软雅黑" w:hAnsi="微软雅黑" w:eastAsia="微软雅黑" w:cs="微软雅黑"/>
          <w:sz w:val="24"/>
        </w:rPr>
        <w:t>‰-4%）</w:t>
      </w:r>
      <w:r>
        <w:rPr>
          <w:rFonts w:hint="eastAsia" w:ascii="微软雅黑" w:hAnsi="微软雅黑" w:eastAsia="微软雅黑" w:cs="微软雅黑"/>
          <w:sz w:val="24"/>
          <w:vertAlign w:val="superscript"/>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kern w:val="2"/>
          <w:sz w:val="24"/>
          <w:szCs w:val="28"/>
          <w:lang w:val="en-US" w:eastAsia="zh-CN" w:bidi="ar-SA"/>
        </w:rPr>
        <w:t>1904</w:t>
      </w:r>
      <w:r>
        <w:rPr>
          <w:rFonts w:hint="eastAsia" w:ascii="微软雅黑" w:hAnsi="微软雅黑" w:eastAsia="微软雅黑" w:cs="微软雅黑"/>
          <w:sz w:val="24"/>
        </w:rPr>
        <w:t xml:space="preserve">人  </w:t>
      </w:r>
      <w:r>
        <w:rPr>
          <w:rFonts w:hint="eastAsia" w:ascii="微软雅黑" w:hAnsi="微软雅黑" w:eastAsia="微软雅黑" w:cs="微软雅黑"/>
          <w:kern w:val="2"/>
          <w:sz w:val="24"/>
          <w:szCs w:val="28"/>
          <w:lang w:val="en-US" w:eastAsia="zh-CN" w:bidi="ar-SA"/>
        </w:rPr>
        <w:t xml:space="preserve">    </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3、中方案：</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近期至2025年，总人口居高方案与低方案之间，取1960人。</w:t>
      </w:r>
    </w:p>
    <w:p>
      <w:pPr>
        <w:spacing w:line="360" w:lineRule="auto"/>
        <w:jc w:val="center"/>
        <w:outlineLvl w:val="0"/>
        <w:rPr>
          <w:rFonts w:hint="eastAsia" w:ascii="微软雅黑" w:hAnsi="微软雅黑" w:eastAsia="微软雅黑" w:cs="微软雅黑"/>
          <w:b/>
          <w:color w:val="000000"/>
          <w:sz w:val="28"/>
          <w:szCs w:val="24"/>
        </w:rPr>
      </w:pPr>
      <w:r>
        <w:rPr>
          <w:rFonts w:hint="eastAsia" w:ascii="微软雅黑" w:hAnsi="微软雅黑" w:eastAsia="微软雅黑" w:cs="微软雅黑"/>
          <w:b/>
          <w:color w:val="000000"/>
          <w:sz w:val="28"/>
          <w:szCs w:val="24"/>
        </w:rPr>
        <w:t>第三章 村域空间功能布局及相关控制要求</w:t>
      </w:r>
      <w:bookmarkEnd w:id="10"/>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第十三条 村域空间功能布局</w:t>
      </w:r>
    </w:p>
    <w:p>
      <w:pPr>
        <w:spacing w:line="360" w:lineRule="auto"/>
        <w:ind w:firstLine="480" w:firstLineChars="200"/>
        <w:rPr>
          <w:rFonts w:hint="eastAsia" w:ascii="微软雅黑" w:hAnsi="微软雅黑" w:eastAsia="微软雅黑" w:cs="微软雅黑"/>
          <w:kern w:val="2"/>
          <w:sz w:val="24"/>
          <w:szCs w:val="28"/>
          <w:lang w:val="en-US" w:eastAsia="zh-CN" w:bidi="ar-SA"/>
        </w:rPr>
      </w:pPr>
      <w:bookmarkStart w:id="11" w:name="_Toc98"/>
      <w:bookmarkStart w:id="12" w:name="_Toc12271_WPSOffice_Level2"/>
      <w:bookmarkStart w:id="13" w:name="_Toc21342"/>
      <w:r>
        <w:rPr>
          <w:rFonts w:hint="eastAsia" w:ascii="微软雅黑" w:hAnsi="微软雅黑" w:eastAsia="微软雅黑" w:cs="微软雅黑"/>
          <w:kern w:val="2"/>
          <w:sz w:val="24"/>
          <w:szCs w:val="28"/>
          <w:lang w:val="en-US" w:eastAsia="zh-CN" w:bidi="ar-SA"/>
        </w:rPr>
        <w:t>（一）“三生”空间功能布局</w:t>
      </w:r>
      <w:bookmarkEnd w:id="11"/>
      <w:bookmarkEnd w:id="12"/>
      <w:bookmarkEnd w:id="13"/>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龙坪村“三生空间”包括生产空间、生活空间、生态空间，“三线”仅涉及永久基本农田。</w:t>
      </w:r>
    </w:p>
    <w:p>
      <w:pPr>
        <w:pStyle w:val="48"/>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生产</w:t>
      </w:r>
      <w:r>
        <w:rPr>
          <w:rFonts w:hint="eastAsia" w:ascii="微软雅黑" w:hAnsi="微软雅黑" w:eastAsia="微软雅黑" w:cs="微软雅黑"/>
          <w:sz w:val="24"/>
          <w:szCs w:val="24"/>
        </w:rPr>
        <w:t>空间</w:t>
      </w:r>
    </w:p>
    <w:p>
      <w:pPr>
        <w:pStyle w:val="48"/>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采用现有资料和技术手段分析，明确适合耕作和发展农业的区域，以农业生产为主导功能，用地类型主要包括：耕地、园地、牧草地、其他农用地（设施农用地、坑塘水面、农田水利用地等）等用地范围。</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龙坪村规划生产空间面积为366.77公顷，其中，耕地面积273.13公顷。</w:t>
      </w:r>
    </w:p>
    <w:p>
      <w:pPr>
        <w:pStyle w:val="48"/>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2、生态空间</w:t>
      </w:r>
    </w:p>
    <w:p>
      <w:pPr>
        <w:pStyle w:val="48"/>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村域内生态敏感度高应严格保护和发挥重要生态功能的区域。主要包括各类法律法规规定的保护范围，经依法批准的相关规划划定的特殊管控区范围以及其他生态资源范围等，如自然保护区、风景名胜区、森林公园、湿地公园、地质公园、自然遗产、“四山”禁建区、城镇饮用水源及其保护区、河湖水库、II级以上林地、郁闭度大于0.7的林地（经济林除外）、除农业空间外的地质灾害高易发区、美丽山水规划确定需要保护的范围、生态恢复区（包括其他林地等）等用地范围。</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龙坪村规划生态空间面积为250.77公顷。</w:t>
      </w:r>
    </w:p>
    <w:p>
      <w:pPr>
        <w:pStyle w:val="48"/>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w:t>
      </w:r>
      <w:r>
        <w:rPr>
          <w:rFonts w:hint="eastAsia" w:ascii="微软雅黑" w:hAnsi="微软雅黑" w:eastAsia="微软雅黑" w:cs="微软雅黑"/>
          <w:color w:val="000000" w:themeColor="text1"/>
          <w:sz w:val="24"/>
          <w:szCs w:val="24"/>
          <w:lang w:eastAsia="zh-CN"/>
          <w14:textFill>
            <w14:solidFill>
              <w14:schemeClr w14:val="tx1"/>
            </w14:solidFill>
          </w14:textFill>
        </w:rPr>
        <w:t>生活</w:t>
      </w:r>
      <w:r>
        <w:rPr>
          <w:rFonts w:hint="eastAsia" w:ascii="微软雅黑" w:hAnsi="微软雅黑" w:eastAsia="微软雅黑" w:cs="微软雅黑"/>
          <w:color w:val="000000" w:themeColor="text1"/>
          <w:sz w:val="24"/>
          <w:szCs w:val="24"/>
          <w14:textFill>
            <w14:solidFill>
              <w14:schemeClr w14:val="tx1"/>
            </w14:solidFill>
          </w14:textFill>
        </w:rPr>
        <w:t>空间</w:t>
      </w:r>
    </w:p>
    <w:p>
      <w:pPr>
        <w:pStyle w:val="48"/>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主要包括现状乡村建设用地（土地整治规划已明确需要复垦拆除的除外）、依据规划需增加的乡村建设用地（包括按标准和需求应设置的村公共服务设施、村基础设施等）及预留的弹性空间等范围。</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龙坪村规划生活空间面积为40.15公顷</w:t>
      </w:r>
      <w:r>
        <w:rPr>
          <w:rFonts w:hint="eastAsia" w:ascii="微软雅黑" w:hAnsi="微软雅黑" w:eastAsia="微软雅黑" w:cs="微软雅黑"/>
          <w:color w:val="auto"/>
          <w:kern w:val="2"/>
          <w:sz w:val="24"/>
          <w:szCs w:val="28"/>
          <w:lang w:val="en-US" w:eastAsia="zh-CN" w:bidi="ar-SA"/>
        </w:rPr>
        <w:t>。</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sz w:val="24"/>
          <w:szCs w:val="24"/>
        </w:rPr>
        <w:t>具体用地详见附表</w:t>
      </w:r>
      <w:r>
        <w:rPr>
          <w:rFonts w:hint="eastAsia" w:ascii="微软雅黑" w:hAnsi="微软雅黑" w:eastAsia="微软雅黑" w:cs="微软雅黑"/>
          <w:sz w:val="24"/>
          <w:szCs w:val="24"/>
          <w:lang w:val="en-US" w:eastAsia="zh-CN"/>
        </w:rPr>
        <w:t>一</w:t>
      </w:r>
      <w:r>
        <w:rPr>
          <w:rFonts w:hint="eastAsia" w:ascii="微软雅黑" w:hAnsi="微软雅黑" w:eastAsia="微软雅黑" w:cs="微软雅黑"/>
          <w:sz w:val="24"/>
          <w:szCs w:val="24"/>
          <w:lang w:eastAsia="zh-CN"/>
        </w:rPr>
        <w:t>。</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第十四条 村域空间管制要求</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1、禁建区划定</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龙坪村禁建区由基本农田保护区、天然气井防护区组成。</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基本农田保护区根据《石安镇土地利用总体规划（2006-2020年）》划定，遍布全村。基本农田保护范围内禁止建设活动，已建农村居民点和产业用地应逐步退出。</w:t>
      </w:r>
    </w:p>
    <w:p>
      <w:pPr>
        <w:spacing w:line="360" w:lineRule="auto"/>
        <w:ind w:firstLine="480" w:firstLineChars="200"/>
        <w:rPr>
          <w:rFonts w:hint="eastAsia" w:ascii="微软雅黑" w:hAnsi="微软雅黑" w:eastAsia="微软雅黑" w:cs="微软雅黑"/>
          <w:color w:val="0000FF"/>
          <w:kern w:val="2"/>
          <w:sz w:val="24"/>
          <w:szCs w:val="28"/>
          <w:lang w:val="en-US" w:eastAsia="zh-CN" w:bidi="ar-SA"/>
        </w:rPr>
      </w:pPr>
      <w:r>
        <w:rPr>
          <w:rFonts w:hint="eastAsia" w:ascii="微软雅黑" w:hAnsi="微软雅黑" w:eastAsia="微软雅黑" w:cs="微软雅黑"/>
          <w:color w:val="auto"/>
          <w:kern w:val="2"/>
          <w:sz w:val="24"/>
          <w:szCs w:val="28"/>
          <w:lang w:val="en-US" w:eastAsia="zh-CN" w:bidi="ar-SA"/>
        </w:rPr>
        <w:t>天然气井禁止在30米范围内严禁开展生产建设等相关活动。</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2、限建区划定</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结合龙坪村村域现状、整合各行业部门数据资料，龙坪村乡村建设的限制因素主要包括水系周边土地保护范围、</w:t>
      </w:r>
      <w:r>
        <w:rPr>
          <w:rFonts w:hint="eastAsia" w:ascii="微软雅黑" w:hAnsi="微软雅黑" w:eastAsia="微软雅黑" w:cs="微软雅黑"/>
          <w:sz w:val="24"/>
          <w:szCs w:val="24"/>
        </w:rPr>
        <w:t>II级保护林地、</w:t>
      </w:r>
      <w:r>
        <w:rPr>
          <w:rFonts w:hint="eastAsia" w:ascii="微软雅黑" w:hAnsi="微软雅黑" w:eastAsia="微软雅黑" w:cs="微软雅黑"/>
          <w:kern w:val="2"/>
          <w:sz w:val="24"/>
          <w:szCs w:val="28"/>
          <w:lang w:val="en-US" w:eastAsia="zh-CN" w:bidi="ar-SA"/>
        </w:rPr>
        <w:t>现状城镇和区域建设用地、坡度25%以上区域。各类限制要素的相关管控要求根据相关规定执行。</w:t>
      </w:r>
    </w:p>
    <w:p>
      <w:pPr>
        <w:spacing w:line="360" w:lineRule="auto"/>
        <w:jc w:val="center"/>
        <w:outlineLvl w:val="0"/>
        <w:rPr>
          <w:rFonts w:hint="eastAsia" w:ascii="微软雅黑" w:hAnsi="微软雅黑" w:eastAsia="微软雅黑" w:cs="微软雅黑"/>
          <w:b/>
          <w:color w:val="000000"/>
          <w:sz w:val="28"/>
          <w:szCs w:val="24"/>
        </w:rPr>
      </w:pPr>
      <w:bookmarkStart w:id="14" w:name="_Toc488239684"/>
      <w:r>
        <w:rPr>
          <w:rFonts w:hint="eastAsia" w:ascii="微软雅黑" w:hAnsi="微软雅黑" w:eastAsia="微软雅黑" w:cs="微软雅黑"/>
          <w:b/>
          <w:color w:val="000000"/>
          <w:sz w:val="28"/>
          <w:szCs w:val="24"/>
        </w:rPr>
        <w:t>第四章 村域土地利用规划</w:t>
      </w:r>
      <w:bookmarkEnd w:id="14"/>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第十五条 村域土地利用现状</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kern w:val="2"/>
          <w:sz w:val="24"/>
          <w:szCs w:val="28"/>
          <w:lang w:val="en-US" w:eastAsia="zh-CN" w:bidi="ar-SA"/>
        </w:rPr>
        <w:t>数据来源：根据重庆市梁平区规划和自然资源局提供2018年土地利用变更调查的地类图斑数据，进行GIS面积计算，龙坪村现状用地类型主要为耕地和有林地。</w:t>
      </w:r>
      <w:r>
        <w:rPr>
          <w:rFonts w:hint="eastAsia" w:ascii="微软雅黑" w:hAnsi="微软雅黑" w:eastAsia="微软雅黑" w:cs="微软雅黑"/>
          <w:color w:val="auto"/>
          <w:kern w:val="2"/>
          <w:sz w:val="24"/>
          <w:szCs w:val="28"/>
          <w:lang w:val="en-US" w:eastAsia="zh-CN" w:bidi="ar-SA"/>
        </w:rPr>
        <w:t>耕地面积约</w:t>
      </w:r>
      <w:r>
        <w:rPr>
          <w:rFonts w:hint="eastAsia" w:ascii="微软雅黑" w:hAnsi="微软雅黑" w:eastAsia="微软雅黑" w:cs="微软雅黑"/>
          <w:color w:val="auto"/>
          <w:sz w:val="24"/>
          <w:szCs w:val="24"/>
          <w:lang w:val="en-US" w:eastAsia="zh-CN"/>
        </w:rPr>
        <w:t>298.09</w:t>
      </w:r>
      <w:r>
        <w:rPr>
          <w:rFonts w:hint="eastAsia" w:ascii="微软雅黑" w:hAnsi="微软雅黑" w:eastAsia="微软雅黑" w:cs="微软雅黑"/>
          <w:color w:val="auto"/>
          <w:kern w:val="2"/>
          <w:sz w:val="24"/>
          <w:szCs w:val="28"/>
          <w:lang w:val="en-US" w:eastAsia="zh-CN" w:bidi="ar-SA"/>
        </w:rPr>
        <w:t>公顷，占全村面积的</w:t>
      </w:r>
      <w:r>
        <w:rPr>
          <w:rFonts w:hint="eastAsia" w:ascii="微软雅黑" w:hAnsi="微软雅黑" w:eastAsia="微软雅黑" w:cs="微软雅黑"/>
          <w:color w:val="auto"/>
          <w:sz w:val="24"/>
          <w:szCs w:val="24"/>
          <w:lang w:val="en-US" w:eastAsia="zh-CN"/>
        </w:rPr>
        <w:t>45.32</w:t>
      </w:r>
      <w:r>
        <w:rPr>
          <w:rFonts w:hint="eastAsia" w:ascii="微软雅黑" w:hAnsi="微软雅黑" w:eastAsia="微软雅黑" w:cs="微软雅黑"/>
          <w:color w:val="auto"/>
          <w:kern w:val="2"/>
          <w:sz w:val="24"/>
          <w:szCs w:val="28"/>
          <w:lang w:val="en-US" w:eastAsia="zh-CN" w:bidi="ar-SA"/>
        </w:rPr>
        <w:t>%，分布于全村；林地面积约157.73公顷，占全村面积的23.98%，主要分布全村。</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color w:val="auto"/>
          <w:kern w:val="2"/>
          <w:sz w:val="24"/>
          <w:szCs w:val="28"/>
          <w:lang w:val="en-US" w:eastAsia="zh-CN" w:bidi="ar-SA"/>
        </w:rPr>
        <w:t>村建设用地面积约40.63公顷，占全村面积的6.18%，零星分布于村域全境；其他土地面积约3.38公顷，占全村面积的0.51%。</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具体用地详见附表二。</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第十六条 村域土地利用规划</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数据来源：根据重庆市梁平区规划和自然资源局提供2018年土地利用变更调查的地类图斑数据，进行GIS面积计算。根据最新农村土地利用分类标准，村域用地大类分为：农用地、建设用地、采矿用地、其他土地四类。</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kern w:val="2"/>
          <w:sz w:val="24"/>
          <w:szCs w:val="28"/>
          <w:lang w:val="en-US" w:eastAsia="zh-CN" w:bidi="ar-SA"/>
        </w:rPr>
        <w:t>农用地分为耕地、园地、林地、牧草地和其他农用地。以传统农业种植和特色高效农业种植相结合</w:t>
      </w:r>
      <w:r>
        <w:rPr>
          <w:rFonts w:hint="eastAsia" w:ascii="微软雅黑" w:hAnsi="微软雅黑" w:eastAsia="微软雅黑" w:cs="微软雅黑"/>
          <w:color w:val="auto"/>
          <w:kern w:val="2"/>
          <w:sz w:val="24"/>
          <w:szCs w:val="28"/>
          <w:lang w:val="en-US" w:eastAsia="zh-CN" w:bidi="ar-SA"/>
        </w:rPr>
        <w:t>，用地面积约523.40公顷。</w:t>
      </w:r>
    </w:p>
    <w:p>
      <w:pPr>
        <w:spacing w:line="360" w:lineRule="auto"/>
        <w:ind w:firstLine="480" w:firstLineChars="200"/>
        <w:rPr>
          <w:rFonts w:hint="eastAsia" w:ascii="微软雅黑" w:hAnsi="微软雅黑" w:eastAsia="微软雅黑" w:cs="微软雅黑"/>
          <w:color w:val="auto"/>
          <w:kern w:val="2"/>
          <w:sz w:val="24"/>
          <w:szCs w:val="28"/>
          <w:lang w:val="en-US" w:eastAsia="zh-CN" w:bidi="ar-SA"/>
        </w:rPr>
      </w:pPr>
      <w:r>
        <w:rPr>
          <w:rFonts w:hint="eastAsia" w:ascii="微软雅黑" w:hAnsi="微软雅黑" w:eastAsia="微软雅黑" w:cs="微软雅黑"/>
          <w:color w:val="auto"/>
          <w:kern w:val="2"/>
          <w:sz w:val="24"/>
          <w:szCs w:val="28"/>
          <w:lang w:val="en-US" w:eastAsia="zh-CN" w:bidi="ar-SA"/>
        </w:rPr>
        <w:t>建设用地分为城乡建设用地、交通水利用地和其他建设用地，用地面积约40.13公顷。其他土地包括水域和自然保留地，面积约94.14公顷。</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具体用地详见附表三。</w:t>
      </w:r>
    </w:p>
    <w:p>
      <w:pPr>
        <w:spacing w:line="360" w:lineRule="auto"/>
        <w:jc w:val="center"/>
        <w:outlineLvl w:val="0"/>
        <w:rPr>
          <w:rFonts w:hint="eastAsia" w:ascii="微软雅黑" w:hAnsi="微软雅黑" w:eastAsia="微软雅黑" w:cs="微软雅黑"/>
          <w:b/>
          <w:color w:val="000000"/>
          <w:sz w:val="28"/>
          <w:szCs w:val="24"/>
        </w:rPr>
      </w:pPr>
      <w:bookmarkStart w:id="15" w:name="_Toc488239685"/>
      <w:r>
        <w:rPr>
          <w:rFonts w:hint="eastAsia" w:ascii="微软雅黑" w:hAnsi="微软雅黑" w:eastAsia="微软雅黑" w:cs="微软雅黑"/>
          <w:b/>
          <w:color w:val="000000"/>
          <w:sz w:val="28"/>
          <w:szCs w:val="24"/>
        </w:rPr>
        <w:t>第五章 村域产业发展规划</w:t>
      </w:r>
      <w:bookmarkEnd w:id="15"/>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第十七条 村域产业发展现状</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2020年龙坪村经济总收入为10200万元，龙坪村的主导产业为农业产业。龙坪村2020年农业产值约910万元，占100%，主要农产品为水稻、禽畜养殖、油料等。水稻、油料等为村民自种，集体销售。</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第十八条 村域产业发展战略</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基于村内独特的地形以及气候特征，在开展地布局规划和选址论证的前提下，引进大型农业企业开展特色油料种植、高山水稻种植，同时开展农耕体验和特色采摘等农业活动，稳步推进种植业、养殖业规模化发展。</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第十九条 农业产业发展指引</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龙坪村农业产业规划形成特色高山水稻种植基地。</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经过国土整治、农业综合开发整治后的耕地和沟地，以水稻种植为主，打造特色产业种植，成立专业合作社，进行生产试点并建立销售渠道，逐步实现整村推广。引进水稻新品种新技术、推广稻草覆盖秋洋芋、杂交油菜种植等具有一定科技含量的项目。</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利用退耕还林政策，加快林业产业结构调整，在不占用现有林地基础上，通过重点培育经果林产业，提高林业经济效益。在山腰台地发展规模经果林基地，按照集中连片、规模种植、鲜食加工并举的发展思路推进。充分利用林下土地资源和林荫优势从事林下种植、养殖等立体复合生产经营，实现资源共享、优势互补、循环相生、协调发展的生态农业模式。</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不断完善农业产业化经营机制，引进龙头企业，鼓励实现“公司＋基地＋农产”的经营方式，建立农产品生产、加工、出口基地，与农民结成利益共同体，带动优势产业和特色品种形成规模化生产和区域化布局，带动农民脱贫致富。</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第二十条 旅游业发展指引</w:t>
      </w:r>
    </w:p>
    <w:p>
      <w:pPr>
        <w:spacing w:line="360" w:lineRule="auto"/>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围绕本村特色产业，实现农业经济结构转型和乡村旅游资源的可持续利用，总体促进乡村居民生活水平提高。</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第二十一条 农村土地经营建议</w:t>
      </w:r>
    </w:p>
    <w:p>
      <w:pPr>
        <w:spacing w:line="360" w:lineRule="auto"/>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 xml:space="preserve">   大力发展农村合作经济组织，着力转变单家独户的传统生产方式，解决小生产、大市场的矛盾，促进农业走向产业化、现代化，农民自愿的基础上，采用土地经营权入股、成立农业合作组织等多种形式，以整合土地资源、发展现代农业，形成规模化生产和品牌产业，增加产品科技含量和附加值，从而提高农民的经济收入。实现农民增收、村级经济实力增强、政府集约土地资源的“三赢”。</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第二十二条 扶持农民自主创业</w:t>
      </w:r>
    </w:p>
    <w:p>
      <w:pPr>
        <w:spacing w:line="360" w:lineRule="auto"/>
        <w:rPr>
          <w:rFonts w:hint="eastAsia" w:ascii="微软雅黑" w:hAnsi="微软雅黑" w:eastAsia="微软雅黑" w:cs="微软雅黑"/>
          <w:kern w:val="2"/>
          <w:sz w:val="24"/>
          <w:szCs w:val="28"/>
          <w:lang w:val="en-US" w:eastAsia="zh-CN" w:bidi="ar-SA"/>
        </w:rPr>
      </w:pPr>
      <w:bookmarkStart w:id="16" w:name="_Toc488239686"/>
      <w:r>
        <w:rPr>
          <w:rFonts w:hint="eastAsia" w:ascii="微软雅黑" w:hAnsi="微软雅黑" w:eastAsia="微软雅黑" w:cs="微软雅黑"/>
          <w:kern w:val="2"/>
          <w:sz w:val="24"/>
          <w:szCs w:val="28"/>
          <w:lang w:val="en-US" w:eastAsia="zh-CN" w:bidi="ar-SA"/>
        </w:rPr>
        <w:t xml:space="preserve">   加大对农民进行培训的同时，成立以生态农业、养殖、水果、花卉为主的专业合作社，形成生产有指导，运输有保证，销售有渠道的产业链，加大对农民创业的资金扶持力度，提供更为便利的小额贷款和融资担保，采取以奖代补的形式，鼓励群众自主创业。</w:t>
      </w:r>
    </w:p>
    <w:bookmarkEnd w:id="16"/>
    <w:p>
      <w:pPr>
        <w:pStyle w:val="43"/>
        <w:jc w:val="center"/>
        <w:rPr>
          <w:rFonts w:hint="eastAsia" w:ascii="微软雅黑" w:hAnsi="微软雅黑" w:eastAsia="微软雅黑" w:cs="微软雅黑"/>
          <w:sz w:val="28"/>
          <w:szCs w:val="28"/>
        </w:rPr>
      </w:pPr>
      <w:bookmarkStart w:id="17" w:name="_Toc488239689"/>
      <w:r>
        <w:rPr>
          <w:rFonts w:hint="eastAsia" w:ascii="微软雅黑" w:hAnsi="微软雅黑" w:eastAsia="微软雅黑" w:cs="微软雅黑"/>
          <w:sz w:val="28"/>
          <w:szCs w:val="28"/>
          <w:lang w:eastAsia="zh-CN"/>
        </w:rPr>
        <w:t>第六章</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村域居民</w:t>
      </w:r>
      <w:r>
        <w:rPr>
          <w:rFonts w:hint="eastAsia" w:ascii="微软雅黑" w:hAnsi="微软雅黑" w:eastAsia="微软雅黑" w:cs="微软雅黑"/>
          <w:sz w:val="28"/>
          <w:szCs w:val="28"/>
          <w:lang w:eastAsia="zh-CN"/>
        </w:rPr>
        <w:t>建筑规划</w:t>
      </w:r>
    </w:p>
    <w:p>
      <w:pPr>
        <w:numPr>
          <w:ilvl w:val="0"/>
          <w:numId w:val="0"/>
        </w:numPr>
        <w:tabs>
          <w:tab w:val="left" w:pos="105"/>
          <w:tab w:val="left" w:pos="525"/>
          <w:tab w:val="left" w:pos="630"/>
          <w:tab w:val="left" w:pos="945"/>
          <w:tab w:val="left" w:pos="1931"/>
        </w:tabs>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 xml:space="preserve">条 </w:t>
      </w:r>
      <w:r>
        <w:rPr>
          <w:rFonts w:hint="eastAsia" w:ascii="微软雅黑" w:hAnsi="微软雅黑" w:eastAsia="微软雅黑" w:cs="微软雅黑"/>
          <w:b/>
          <w:sz w:val="24"/>
          <w:szCs w:val="24"/>
          <w:lang w:eastAsia="zh-CN"/>
        </w:rPr>
        <w:t>集中居民点修建意愿</w:t>
      </w:r>
    </w:p>
    <w:p>
      <w:pPr>
        <w:numPr>
          <w:ilvl w:val="0"/>
          <w:numId w:val="0"/>
        </w:numPr>
        <w:tabs>
          <w:tab w:val="left" w:pos="105"/>
          <w:tab w:val="left" w:pos="525"/>
          <w:tab w:val="left" w:pos="630"/>
          <w:tab w:val="left" w:pos="945"/>
          <w:tab w:val="left" w:pos="1931"/>
        </w:tabs>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根据村民意见，结合现有实际情况，</w:t>
      </w:r>
      <w:r>
        <w:rPr>
          <w:rFonts w:hint="eastAsia" w:ascii="微软雅黑" w:hAnsi="微软雅黑" w:eastAsia="微软雅黑" w:cs="微软雅黑"/>
          <w:sz w:val="24"/>
          <w:szCs w:val="24"/>
          <w:lang w:eastAsia="zh-CN"/>
        </w:rPr>
        <w:t>村内暂无意愿修建集中居民点</w:t>
      </w:r>
      <w:r>
        <w:rPr>
          <w:rFonts w:hint="eastAsia" w:ascii="微软雅黑" w:hAnsi="微软雅黑" w:eastAsia="微软雅黑" w:cs="微软雅黑"/>
          <w:sz w:val="24"/>
          <w:szCs w:val="24"/>
        </w:rPr>
        <w:t>。</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四</w:t>
      </w:r>
      <w:r>
        <w:rPr>
          <w:rFonts w:hint="eastAsia" w:ascii="微软雅黑" w:hAnsi="微软雅黑" w:eastAsia="微软雅黑" w:cs="微软雅黑"/>
          <w:b/>
          <w:sz w:val="24"/>
          <w:szCs w:val="24"/>
        </w:rPr>
        <w:t>条 居民</w:t>
      </w:r>
      <w:r>
        <w:rPr>
          <w:rFonts w:hint="eastAsia" w:ascii="微软雅黑" w:hAnsi="微软雅黑" w:eastAsia="微软雅黑" w:cs="微软雅黑"/>
          <w:b/>
          <w:sz w:val="24"/>
          <w:szCs w:val="24"/>
          <w:lang w:eastAsia="zh-CN"/>
        </w:rPr>
        <w:t>建筑</w:t>
      </w:r>
      <w:r>
        <w:rPr>
          <w:rFonts w:hint="eastAsia" w:ascii="微软雅黑" w:hAnsi="微软雅黑" w:eastAsia="微软雅黑" w:cs="微软雅黑"/>
          <w:b/>
          <w:sz w:val="24"/>
          <w:szCs w:val="24"/>
        </w:rPr>
        <w:t>用地标准</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在符合上位规划的前提下，村规划的集中和分散集体建设用地要分类统计，其总规模和村规划人口规模原则上不得超过该村现状集体建设用地和人口总规模。由于乡村旅游等发展需要，确需超过的，应经区县级以上规划、国土等部门组织专题认证后确定。规划集体建设用地规模可在镇乡域范围内统一调配和安排。</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农村集中居民点及其他农村居民住宅建设，宅基地标准按《重庆市土地管理规定》执行，，每人20-30平方米。3人以下户按3人计算，4人户按4人计算，5人以上户按5人计算，扩建住宅新占的土地面积应连同原有宅基地面积一并计算。</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散居村民</w:t>
      </w:r>
      <w:r>
        <w:rPr>
          <w:rFonts w:hint="eastAsia" w:ascii="微软雅黑" w:hAnsi="微软雅黑" w:eastAsia="微软雅黑" w:cs="微软雅黑"/>
          <w:sz w:val="24"/>
          <w:szCs w:val="24"/>
          <w:lang w:eastAsia="zh-CN"/>
        </w:rPr>
        <w:t>建筑</w:t>
      </w:r>
      <w:r>
        <w:rPr>
          <w:rFonts w:hint="eastAsia" w:ascii="微软雅黑" w:hAnsi="微软雅黑" w:eastAsia="微软雅黑" w:cs="微软雅黑"/>
          <w:sz w:val="24"/>
          <w:szCs w:val="24"/>
        </w:rPr>
        <w:t>原则上不得新建和扩建住宅，经村委会讨论同意后可在原宅基地上进行扩建，新增人口的建设用地标准不得超过</w:t>
      </w:r>
      <w:r>
        <w:rPr>
          <w:rFonts w:hint="eastAsia" w:ascii="微软雅黑" w:hAnsi="微软雅黑" w:eastAsia="微软雅黑" w:cs="微软雅黑"/>
          <w:color w:val="auto"/>
          <w:sz w:val="24"/>
          <w:szCs w:val="24"/>
        </w:rPr>
        <w:t>120平方米/人。</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条</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建筑选型</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lang w:eastAsia="zh-CN"/>
        </w:rPr>
        <w:t>新建</w:t>
      </w:r>
      <w:r>
        <w:rPr>
          <w:rFonts w:hint="eastAsia" w:ascii="微软雅黑" w:hAnsi="微软雅黑" w:eastAsia="微软雅黑" w:cs="微软雅黑"/>
          <w:sz w:val="24"/>
          <w:szCs w:val="24"/>
        </w:rPr>
        <w:t>居民建筑按照“节能、节地、节水、节材”标准进行建设，按照独立式、双拼住宅、联排住宅多种形式进行。坡屋顶与平屋顶相结合，内院、天井及后院设置相结合，富有巴渝民居特色，充分体现农村院落特色，方便开展院坝文化，提高文化内涵。</w:t>
      </w:r>
    </w:p>
    <w:p>
      <w:pPr>
        <w:spacing w:line="360" w:lineRule="auto"/>
        <w:ind w:left="-189" w:leftChars="-90" w:right="55" w:rightChars="26"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原有的民居风格房屋保持原貌，粉刷墙面与穿斗、檐口，进行立面翻新；对近年修建的房屋重点地段可在立面上增加传统建筑元素，并加强宅旁绿化。新建建筑应控制建筑的风格、密度、体量、色彩，灵活运用传统民居的建筑符号，与整体环境风貌相协调。大型院落应注重整体风格，适当增加一些围墙，加强围合感。散户注重与自然的协调，通过绿化将建筑进行遮挡，让少量的建筑显露在山水之间。</w:t>
      </w:r>
    </w:p>
    <w:p>
      <w:pPr>
        <w:spacing w:line="360" w:lineRule="auto"/>
        <w:ind w:left="-189" w:leftChars="-90" w:right="55" w:rightChars="26"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rPr>
        <w:t>建筑密高度控制在</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层。</w:t>
      </w:r>
    </w:p>
    <w:p>
      <w:pPr>
        <w:spacing w:line="360" w:lineRule="auto"/>
        <w:jc w:val="center"/>
        <w:outlineLvl w:val="0"/>
        <w:rPr>
          <w:rFonts w:hint="eastAsia" w:ascii="微软雅黑" w:hAnsi="微软雅黑" w:eastAsia="微软雅黑" w:cs="微软雅黑"/>
          <w:b/>
          <w:color w:val="000000"/>
          <w:sz w:val="28"/>
          <w:szCs w:val="24"/>
        </w:rPr>
      </w:pPr>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七</w:t>
      </w:r>
      <w:r>
        <w:rPr>
          <w:rFonts w:hint="eastAsia" w:ascii="微软雅黑" w:hAnsi="微软雅黑" w:eastAsia="微软雅黑" w:cs="微软雅黑"/>
          <w:b/>
          <w:color w:val="000000"/>
          <w:sz w:val="28"/>
          <w:szCs w:val="24"/>
        </w:rPr>
        <w:t>章 村域公共服务设施规划</w:t>
      </w:r>
      <w:bookmarkEnd w:id="17"/>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 村域公共服务设施布局</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域公共服务设施包括行政、教育、医疗卫生、社会保障、文化体育、商业活动等六类。公共建筑宜集中布置在位置适中、内外联系方便的地段，兼类使用。村敬老院应布置在环境好，相对安静的位置。商业服务建筑宜布置在集中居民点人口集中和交通方便的地段。市场设施用地应综合考虑交通、环境与节约用地等因素进行布置，应有利于人流和商品的集散，并不得占用主村道。</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二十七</w:t>
      </w:r>
      <w:r>
        <w:rPr>
          <w:rFonts w:hint="eastAsia" w:ascii="微软雅黑" w:hAnsi="微软雅黑" w:eastAsia="微软雅黑" w:cs="微软雅黑"/>
          <w:b/>
          <w:sz w:val="24"/>
          <w:szCs w:val="24"/>
        </w:rPr>
        <w:t>条 配置标准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社区</w:t>
      </w:r>
      <w:r>
        <w:rPr>
          <w:rFonts w:hint="eastAsia" w:ascii="微软雅黑" w:hAnsi="微软雅黑" w:eastAsia="微软雅黑" w:cs="微软雅黑"/>
          <w:sz w:val="24"/>
          <w:szCs w:val="24"/>
        </w:rPr>
        <w:t>公共服务中心（村委会所在地）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主要服务村域范围，应兼有农村技术合作社、农村信息中心、广播站等联络和服务功能；应配置社区便利店、文化活动室、图书馆、社保、医保、警务室、动植物检疫室等用房。</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根据实际情况以上功能区可统一设置，兼类使用。管理用房、文化活动室、图书室等可兼用；放心店、邮政、储蓄代办点等可兼用；健身活动设施、停车场可兼用。</w:t>
      </w:r>
    </w:p>
    <w:p>
      <w:pPr>
        <w:spacing w:line="360" w:lineRule="auto"/>
        <w:jc w:val="center"/>
        <w:outlineLvl w:val="0"/>
        <w:rPr>
          <w:rFonts w:hint="eastAsia" w:ascii="微软雅黑" w:hAnsi="微软雅黑" w:eastAsia="微软雅黑" w:cs="微软雅黑"/>
          <w:b/>
          <w:color w:val="000000"/>
          <w:sz w:val="28"/>
          <w:szCs w:val="24"/>
        </w:rPr>
      </w:pPr>
      <w:bookmarkStart w:id="18" w:name="_Toc488239690"/>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八</w:t>
      </w:r>
      <w:r>
        <w:rPr>
          <w:rFonts w:hint="eastAsia" w:ascii="微软雅黑" w:hAnsi="微软雅黑" w:eastAsia="微软雅黑" w:cs="微软雅黑"/>
          <w:b/>
          <w:color w:val="000000"/>
          <w:sz w:val="28"/>
          <w:szCs w:val="24"/>
        </w:rPr>
        <w:t>章 村域交通规划</w:t>
      </w:r>
      <w:bookmarkEnd w:id="18"/>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二十八</w:t>
      </w:r>
      <w:r>
        <w:rPr>
          <w:rFonts w:hint="eastAsia" w:ascii="微软雅黑" w:hAnsi="微软雅黑" w:eastAsia="微软雅黑" w:cs="微软雅黑"/>
          <w:b/>
          <w:sz w:val="24"/>
          <w:szCs w:val="24"/>
        </w:rPr>
        <w:t>条 规划目标</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规划构建以等级公路、村级主干路、村级次干路和步行道路四级设置的完善道路体系，形成站场设施完善、安全达标，对外通畅，对内集中居民点、主要产业区通达，方便居民的村域交通系统。</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二十九</w:t>
      </w:r>
      <w:r>
        <w:rPr>
          <w:rFonts w:hint="eastAsia" w:ascii="微软雅黑" w:hAnsi="微软雅黑" w:eastAsia="微软雅黑" w:cs="微软雅黑"/>
          <w:b/>
          <w:sz w:val="24"/>
          <w:szCs w:val="24"/>
        </w:rPr>
        <w:t>条 村域道路</w:t>
      </w:r>
    </w:p>
    <w:p>
      <w:pPr>
        <w:spacing w:line="360" w:lineRule="auto"/>
        <w:ind w:firstLine="42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村域道路分为村级主村道、村级次村道二个等级。</w:t>
      </w:r>
    </w:p>
    <w:p>
      <w:pPr>
        <w:spacing w:line="360" w:lineRule="auto"/>
        <w:ind w:firstLine="42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村级主村道：龙坪村道路主村道统网已形成，通村主干路</w:t>
      </w:r>
      <w:r>
        <w:rPr>
          <w:rFonts w:hint="eastAsia" w:ascii="微软雅黑" w:hAnsi="微软雅黑" w:eastAsia="微软雅黑" w:cs="微软雅黑"/>
          <w:sz w:val="24"/>
          <w:szCs w:val="24"/>
          <w:lang w:val="en-US" w:eastAsia="zh-CN"/>
        </w:rPr>
        <w:t>8.6</w:t>
      </w:r>
      <w:r>
        <w:rPr>
          <w:rFonts w:hint="eastAsia" w:ascii="微软雅黑" w:hAnsi="微软雅黑" w:eastAsia="微软雅黑" w:cs="微软雅黑"/>
          <w:sz w:val="24"/>
          <w:szCs w:val="24"/>
          <w:lang w:eastAsia="zh-CN"/>
        </w:rPr>
        <w:t>公里，宽度</w:t>
      </w:r>
      <w:r>
        <w:rPr>
          <w:rFonts w:hint="eastAsia" w:ascii="微软雅黑" w:hAnsi="微软雅黑" w:eastAsia="微软雅黑" w:cs="微软雅黑"/>
          <w:sz w:val="24"/>
          <w:szCs w:val="24"/>
          <w:lang w:val="en-US" w:eastAsia="zh-CN"/>
        </w:rPr>
        <w:t>3.5</w:t>
      </w:r>
      <w:r>
        <w:rPr>
          <w:rFonts w:hint="eastAsia" w:ascii="微软雅黑" w:hAnsi="微软雅黑" w:eastAsia="微软雅黑" w:cs="微软雅黑"/>
          <w:sz w:val="24"/>
          <w:szCs w:val="24"/>
          <w:lang w:eastAsia="zh-CN"/>
        </w:rPr>
        <w:t>米，水泥混凝土路面。规划拓宽通村主干路，改善现有交通条件，更好地满足农村产业发展需求。</w:t>
      </w:r>
    </w:p>
    <w:p>
      <w:pPr>
        <w:spacing w:line="360" w:lineRule="auto"/>
        <w:ind w:firstLine="42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村级次村道：规划期内，龙坪村规划村级次村道</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lang w:eastAsia="zh-CN"/>
        </w:rPr>
        <w:t>公里，宽</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eastAsia="zh-CN"/>
        </w:rPr>
        <w:t>米，规划水泥硬化路面及拓宽。</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第三十条 道路技术标准</w:t>
      </w:r>
    </w:p>
    <w:p>
      <w:pPr>
        <w:spacing w:line="360" w:lineRule="auto"/>
        <w:ind w:firstLine="42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县道</w:t>
      </w:r>
      <w:r>
        <w:rPr>
          <w:rFonts w:hint="eastAsia" w:ascii="微软雅黑" w:hAnsi="微软雅黑" w:eastAsia="微软雅黑" w:cs="微软雅黑"/>
          <w:sz w:val="24"/>
          <w:szCs w:val="24"/>
        </w:rPr>
        <w:t>圆曲线最小半径为</w:t>
      </w:r>
      <w:r>
        <w:rPr>
          <w:rFonts w:hint="eastAsia" w:ascii="微软雅黑" w:hAnsi="微软雅黑" w:eastAsia="微软雅黑" w:cs="微软雅黑"/>
          <w:sz w:val="24"/>
          <w:szCs w:val="24"/>
          <w:lang w:val="en-US" w:eastAsia="zh-CN"/>
        </w:rPr>
        <w:t>100</w:t>
      </w:r>
      <w:r>
        <w:rPr>
          <w:rFonts w:hint="eastAsia" w:ascii="微软雅黑" w:hAnsi="微软雅黑" w:eastAsia="微软雅黑" w:cs="微软雅黑"/>
          <w:sz w:val="24"/>
          <w:szCs w:val="24"/>
        </w:rPr>
        <w:t>米，极限最小半径为</w:t>
      </w:r>
      <w:r>
        <w:rPr>
          <w:rFonts w:hint="eastAsia" w:ascii="微软雅黑" w:hAnsi="微软雅黑" w:eastAsia="微软雅黑" w:cs="微软雅黑"/>
          <w:sz w:val="24"/>
          <w:szCs w:val="24"/>
          <w:lang w:val="en-US" w:eastAsia="zh-CN"/>
        </w:rPr>
        <w:t>60</w:t>
      </w:r>
      <w:r>
        <w:rPr>
          <w:rFonts w:hint="eastAsia" w:ascii="微软雅黑" w:hAnsi="微软雅黑" w:eastAsia="微软雅黑" w:cs="微软雅黑"/>
          <w:sz w:val="24"/>
          <w:szCs w:val="24"/>
        </w:rPr>
        <w:t>米，一般情况下应尽量采用大于或等于一般最小半径，当受地形条件或其它特殊情况限制时，方可采用极限最小半径。当采用极限最小半径时，纵坡不应大于</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%，超高不应大于</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圆曲线最小半径为30米，极限最小半径为15米，一般情况下应尽量采用大于或等于一般最小半径，当受地形条件或其它特殊情况限制时，方可采用极限最小半径。当采用极限最小半径时，纵坡不应大于5%，超高不应大于6%。</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村道的纵坡最大不超过9%，当受地形条件或其它特殊情况限制而采用最大纵坡时，最大坡长不超过200米，并全线设置安全标志。</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村道（砼路面）路基宽度4.5米，路面硬化宽度4.5米，两侧各设置0.5米硬路肩；村道（泥结碎石路面）路面宽2.5—3.5米，两侧各设置0.25米土路肩。</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单车道村道应设置错车道，每公里不少于3处，错车道处路基宽度不小于6.5米，有效长度不小于10m，具体设置位置结合地形考虑。</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尽端式村道应在末端设置不小于12m×12m的回车场地。</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道路应根据当地降水与路面的具体情况设置必要的排水设施，及时将降水排出路面，保证行车安全。</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一</w:t>
      </w:r>
      <w:r>
        <w:rPr>
          <w:rFonts w:hint="eastAsia" w:ascii="微软雅黑" w:hAnsi="微软雅黑" w:eastAsia="微软雅黑" w:cs="微软雅黑"/>
          <w:b/>
          <w:sz w:val="24"/>
          <w:szCs w:val="24"/>
        </w:rPr>
        <w:t>条 其他交通设施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规划</w:t>
      </w:r>
      <w:r>
        <w:rPr>
          <w:rFonts w:hint="eastAsia" w:ascii="微软雅黑" w:hAnsi="微软雅黑" w:eastAsia="微软雅黑" w:cs="微软雅黑"/>
          <w:sz w:val="24"/>
          <w:szCs w:val="24"/>
          <w:lang w:eastAsia="zh-CN"/>
        </w:rPr>
        <w:t>县</w:t>
      </w:r>
      <w:r>
        <w:rPr>
          <w:rFonts w:hint="eastAsia" w:ascii="微软雅黑" w:hAnsi="微软雅黑" w:eastAsia="微软雅黑" w:cs="微软雅黑"/>
          <w:sz w:val="24"/>
          <w:szCs w:val="24"/>
        </w:rPr>
        <w:t>道、村道沿线设置必要的交通安全设施、交通管理设施和交通防护设施。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在集中居民点、村委会附近应设置机动车限速标志和警告标志。</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在</w:t>
      </w:r>
      <w:r>
        <w:rPr>
          <w:rFonts w:hint="eastAsia" w:ascii="微软雅黑" w:hAnsi="微软雅黑" w:eastAsia="微软雅黑" w:cs="微软雅黑"/>
          <w:sz w:val="24"/>
          <w:szCs w:val="24"/>
          <w:lang w:eastAsia="zh-CN"/>
        </w:rPr>
        <w:t>县</w:t>
      </w:r>
      <w:r>
        <w:rPr>
          <w:rFonts w:hint="eastAsia" w:ascii="微软雅黑" w:hAnsi="微软雅黑" w:eastAsia="微软雅黑" w:cs="微软雅黑"/>
          <w:sz w:val="24"/>
          <w:szCs w:val="24"/>
        </w:rPr>
        <w:t>道、村道沿线两侧应进行植树绿化，美化路容，保护环境。植树可结合产业发展采用经济林木，但不得在道路路肩范围植树，同时植树应满足视距要求，粗细树技及矮林均不得伸入村道建筑限界内，以免影响行车安全。</w:t>
      </w:r>
    </w:p>
    <w:p>
      <w:pPr>
        <w:spacing w:line="360" w:lineRule="auto"/>
        <w:jc w:val="center"/>
        <w:outlineLvl w:val="0"/>
        <w:rPr>
          <w:rFonts w:hint="eastAsia" w:ascii="微软雅黑" w:hAnsi="微软雅黑" w:eastAsia="微软雅黑" w:cs="微软雅黑"/>
        </w:rPr>
      </w:pPr>
      <w:bookmarkStart w:id="19" w:name="_Toc488239691"/>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val="en-US" w:eastAsia="zh-CN"/>
        </w:rPr>
        <w:t>九</w:t>
      </w:r>
      <w:r>
        <w:rPr>
          <w:rFonts w:hint="eastAsia" w:ascii="微软雅黑" w:hAnsi="微软雅黑" w:eastAsia="微软雅黑" w:cs="微软雅黑"/>
          <w:b/>
          <w:color w:val="000000"/>
          <w:sz w:val="28"/>
          <w:szCs w:val="24"/>
        </w:rPr>
        <w:t>章 村域基础设施规划</w:t>
      </w:r>
      <w:bookmarkEnd w:id="19"/>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二</w:t>
      </w:r>
      <w:r>
        <w:rPr>
          <w:rFonts w:hint="eastAsia" w:ascii="微软雅黑" w:hAnsi="微软雅黑" w:eastAsia="微软雅黑" w:cs="微软雅黑"/>
          <w:b/>
          <w:sz w:val="24"/>
          <w:szCs w:val="24"/>
        </w:rPr>
        <w:t>条 生活供水设施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1、预测全村最高日总用水需求量约为</w:t>
      </w:r>
      <w:r>
        <w:rPr>
          <w:rFonts w:hint="eastAsia" w:ascii="微软雅黑" w:hAnsi="微软雅黑" w:eastAsia="微软雅黑" w:cs="微软雅黑"/>
          <w:kern w:val="2"/>
          <w:sz w:val="24"/>
          <w:szCs w:val="28"/>
          <w:lang w:val="en-US" w:eastAsia="zh-CN" w:bidi="ar-SA"/>
        </w:rPr>
        <w:t>345</w:t>
      </w:r>
      <w:r>
        <w:rPr>
          <w:rFonts w:hint="eastAsia" w:ascii="微软雅黑" w:hAnsi="微软雅黑" w:eastAsia="微软雅黑" w:cs="微软雅黑"/>
          <w:sz w:val="24"/>
          <w:szCs w:val="24"/>
        </w:rPr>
        <w:t>立方米/日，其中集中供水需求量约为</w:t>
      </w:r>
      <w:r>
        <w:rPr>
          <w:rFonts w:hint="eastAsia" w:ascii="微软雅黑" w:hAnsi="微软雅黑" w:eastAsia="微软雅黑" w:cs="微软雅黑"/>
          <w:sz w:val="24"/>
          <w:szCs w:val="24"/>
          <w:lang w:val="en-US" w:eastAsia="zh-CN"/>
        </w:rPr>
        <w:t>210</w:t>
      </w:r>
      <w:r>
        <w:rPr>
          <w:rFonts w:hint="eastAsia" w:ascii="微软雅黑" w:hAnsi="微软雅黑" w:eastAsia="微软雅黑" w:cs="微软雅黑"/>
          <w:sz w:val="24"/>
          <w:szCs w:val="24"/>
        </w:rPr>
        <w:t>立方米/日。</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2、生活用水采用集中与分散供水相结合的方式。靠近集中供水系统的村民由集中供水系统供水，距集中供水系统较远村民则仍使用地下水和山泉水为生活用水水源。</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、村内集中供水管网采用树枝式。</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5、水源取水点周围30米区域为饮用水源保护区域，在保护区域内禁止下列行为：清洗装贮过有毒有害物品的容器；使用高残留或剧毒农药；排放工业污水；修建饲养场、厕所和堆放垃圾。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条 污水处理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1、预测全村最高日污水总量约为</w:t>
      </w:r>
      <w:r>
        <w:rPr>
          <w:rFonts w:hint="eastAsia" w:ascii="微软雅黑" w:hAnsi="微软雅黑" w:eastAsia="微软雅黑" w:cs="微软雅黑"/>
          <w:kern w:val="2"/>
          <w:sz w:val="24"/>
          <w:szCs w:val="28"/>
          <w:lang w:val="en-US" w:eastAsia="zh-CN" w:bidi="ar-SA"/>
        </w:rPr>
        <w:t>276</w:t>
      </w:r>
      <w:r>
        <w:rPr>
          <w:rFonts w:hint="eastAsia" w:ascii="微软雅黑" w:hAnsi="微软雅黑" w:eastAsia="微软雅黑" w:cs="微软雅黑"/>
          <w:sz w:val="24"/>
          <w:szCs w:val="24"/>
        </w:rPr>
        <w:t>立方米/日，其中集中居民点污水量约为</w:t>
      </w:r>
      <w:r>
        <w:rPr>
          <w:rFonts w:hint="eastAsia" w:ascii="微软雅黑" w:hAnsi="微软雅黑" w:eastAsia="微软雅黑" w:cs="微软雅黑"/>
          <w:sz w:val="24"/>
          <w:szCs w:val="24"/>
          <w:lang w:val="en-US" w:eastAsia="zh-CN"/>
        </w:rPr>
        <w:t>168</w:t>
      </w:r>
      <w:r>
        <w:rPr>
          <w:rFonts w:hint="eastAsia" w:ascii="微软雅黑" w:hAnsi="微软雅黑" w:eastAsia="微软雅黑" w:cs="微软雅黑"/>
          <w:sz w:val="24"/>
          <w:szCs w:val="24"/>
        </w:rPr>
        <w:t>立方米/日。</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2、生活污水处理宜采用集中与分散相结合的方式。集中居民点的生活污水宜结合农村沼气建设集中处理排放。污水用于农田灌溉，应符合农田灌溉水质标准的有关规定。</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3、生活污水处理宜采用操作简单、运行维护方便、经济可行的生物处理工艺。污水处理设施的位置应选在集中居民点的下游，靠近受纳水体或农田灌溉区。</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4、村内旅游企业生活废水必须自行处理、达标排放。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四</w:t>
      </w:r>
      <w:r>
        <w:rPr>
          <w:rFonts w:hint="eastAsia" w:ascii="微软雅黑" w:hAnsi="微软雅黑" w:eastAsia="微软雅黑" w:cs="微软雅黑"/>
          <w:b/>
          <w:sz w:val="24"/>
          <w:szCs w:val="24"/>
        </w:rPr>
        <w:t>条 供电</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1、预测全村总用电负荷约为</w:t>
      </w:r>
      <w:r>
        <w:rPr>
          <w:rFonts w:hint="eastAsia" w:ascii="微软雅黑" w:hAnsi="微软雅黑" w:eastAsia="微软雅黑" w:cs="微软雅黑"/>
          <w:kern w:val="2"/>
          <w:sz w:val="24"/>
          <w:szCs w:val="28"/>
          <w:lang w:val="en-US" w:eastAsia="zh-CN" w:bidi="ar-SA"/>
        </w:rPr>
        <w:t>380-480</w:t>
      </w:r>
      <w:r>
        <w:rPr>
          <w:rFonts w:hint="eastAsia" w:ascii="微软雅黑" w:hAnsi="微软雅黑" w:eastAsia="微软雅黑" w:cs="微软雅黑"/>
          <w:sz w:val="24"/>
          <w:szCs w:val="24"/>
        </w:rPr>
        <w:t>千瓦。</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2、全村仍由福禄供电所供电。</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3、10千伏及以下配电网仍采用树枝式结构，新建线路采用架空敷设。</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4、全村现有共配置4台10千伏配电变压器，无新增变压器的需求。</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条 广播、电视、通信</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1、预测全村固话需求量约为1151门。</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2、大力发展各种先进通信业务，促进农村信息化建设，加快实施宽带网入户工程，逐步实现广播、有线电视、宽带等多网合一。</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3、在村公共活动中心内附设村广播站，负责对村民广播。</w:t>
      </w:r>
    </w:p>
    <w:p>
      <w:pPr>
        <w:spacing w:line="360" w:lineRule="auto"/>
        <w:ind w:firstLine="480" w:firstLineChars="200"/>
        <w:rPr>
          <w:rFonts w:hint="eastAsia" w:ascii="微软雅黑" w:hAnsi="微软雅黑" w:eastAsia="微软雅黑" w:cs="微软雅黑"/>
          <w:kern w:val="2"/>
          <w:sz w:val="24"/>
          <w:szCs w:val="28"/>
          <w:lang w:val="en-US" w:eastAsia="zh-CN" w:bidi="ar-SA"/>
        </w:rPr>
      </w:pPr>
      <w:r>
        <w:rPr>
          <w:rFonts w:hint="eastAsia" w:ascii="微软雅黑" w:hAnsi="微软雅黑" w:eastAsia="微软雅黑" w:cs="微软雅黑"/>
          <w:kern w:val="2"/>
          <w:sz w:val="24"/>
          <w:szCs w:val="28"/>
          <w:lang w:val="en-US" w:eastAsia="zh-CN" w:bidi="ar-SA"/>
        </w:rPr>
        <w:t>4、村内通信线路采用架空敷设，广播、有线电视、固话、宽带等通信线路随着村集中居民点的建设，应逐步实现同杆架设，在新建集中居民点内可考虑统一下地敷设。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 生活燃料供应</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宜按因地制宜地选择多元化、集中与分散供给相结合、政府引导与本地积极建设相结合的原则保障村民生活燃料供应。村民生活燃料提倡使用沼气为主，罐装液化石油气为补充，推广太阳能等清洁能源的使用，结合垃圾、粪便、桔杆等有机废物的生化处理，因地制宜地搞好分散式或相对集中式的沼气池建设，变废为宝，综合利用。</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沼气的推广应切合实际，先满足积极性高、有条件的农户，尤其应将村民集中居民点和养殖大户摆在优先发展的位置，防止一哄而上，造成资源浪费。目前应先启动农民新居规划区内的沼气建设。规划远期在有条件的集中居民点发展管道液化石油气。</w:t>
      </w:r>
    </w:p>
    <w:p>
      <w:pPr>
        <w:spacing w:line="360" w:lineRule="auto"/>
        <w:jc w:val="center"/>
        <w:outlineLvl w:val="0"/>
        <w:rPr>
          <w:rFonts w:hint="eastAsia" w:ascii="微软雅黑" w:hAnsi="微软雅黑" w:eastAsia="微软雅黑" w:cs="微软雅黑"/>
          <w:b/>
          <w:color w:val="000000"/>
          <w:sz w:val="28"/>
          <w:szCs w:val="24"/>
        </w:rPr>
      </w:pPr>
      <w:bookmarkStart w:id="20" w:name="_Toc488239692"/>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十</w:t>
      </w:r>
      <w:r>
        <w:rPr>
          <w:rFonts w:hint="eastAsia" w:ascii="微软雅黑" w:hAnsi="微软雅黑" w:eastAsia="微软雅黑" w:cs="微软雅黑"/>
          <w:b/>
          <w:color w:val="000000"/>
          <w:sz w:val="28"/>
          <w:szCs w:val="24"/>
        </w:rPr>
        <w:t>章 村域生态环境保护</w:t>
      </w:r>
      <w:bookmarkEnd w:id="20"/>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七</w:t>
      </w:r>
      <w:r>
        <w:rPr>
          <w:rFonts w:hint="eastAsia" w:ascii="微软雅黑" w:hAnsi="微软雅黑" w:eastAsia="微软雅黑" w:cs="微软雅黑"/>
          <w:b/>
          <w:sz w:val="24"/>
          <w:szCs w:val="24"/>
        </w:rPr>
        <w:t>条 村域生态环境保护</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1、山、水、林、田、路、房实施综合保护和协调。</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2、进一步巩固退耕还林，对以前存在问题的退耕还林地块同产业发展相结合逐步进行置换。</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3、加强河流河岸的保护和治理。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sz w:val="24"/>
          <w:szCs w:val="24"/>
          <w:lang w:eastAsia="zh-CN"/>
        </w:rPr>
        <w:t>水源</w:t>
      </w:r>
      <w:r>
        <w:rPr>
          <w:rFonts w:hint="eastAsia" w:ascii="微软雅黑" w:hAnsi="微软雅黑" w:eastAsia="微软雅黑" w:cs="微软雅黑"/>
          <w:sz w:val="24"/>
          <w:szCs w:val="24"/>
        </w:rPr>
        <w:t>取水点周围30米区域内禁止下列行为：清洗装贮过有毒有害物品的容器；使用高残留或剧毒农药；排放工业污水；修建饲养场、厕所和堆放垃圾。</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5、污水处理应达到《城镇污水处理厂污染物排放标准》的三级标准要求。严格保护靠近村落的山坪塘，整治村域水体，保土蓄水，合理开发利用鱼塘，防治农村面源污染和畜禽养殖污染。</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6、严格保护集中居民点林地，严禁毁林建房。集中居民点周边、主村道两侧加强绿化。</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7、垃圾统一安排，每户设置垃圾桶做到日产日清，统一收集集中处理。</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八</w:t>
      </w:r>
      <w:r>
        <w:rPr>
          <w:rFonts w:hint="eastAsia" w:ascii="微软雅黑" w:hAnsi="微软雅黑" w:eastAsia="微软雅黑" w:cs="微软雅黑"/>
          <w:b/>
          <w:sz w:val="24"/>
          <w:szCs w:val="24"/>
        </w:rPr>
        <w:t>条 村域环卫设施规划</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、垃圾处理：以集中居民点为主配置相应的垃圾桶、垃圾箱及垃圾收集站。</w:t>
      </w:r>
    </w:p>
    <w:p>
      <w:pPr>
        <w:spacing w:line="360" w:lineRule="auto"/>
        <w:jc w:val="center"/>
        <w:outlineLvl w:val="0"/>
        <w:rPr>
          <w:rFonts w:hint="eastAsia" w:ascii="微软雅黑" w:hAnsi="微软雅黑" w:eastAsia="微软雅黑" w:cs="微软雅黑"/>
          <w:b/>
          <w:color w:val="000000"/>
          <w:sz w:val="28"/>
          <w:szCs w:val="24"/>
        </w:rPr>
      </w:pPr>
      <w:bookmarkStart w:id="21" w:name="_Toc488239695"/>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一</w:t>
      </w:r>
      <w:r>
        <w:rPr>
          <w:rFonts w:hint="eastAsia" w:ascii="微软雅黑" w:hAnsi="微软雅黑" w:eastAsia="微软雅黑" w:cs="微软雅黑"/>
          <w:b/>
          <w:color w:val="000000"/>
          <w:sz w:val="28"/>
          <w:szCs w:val="24"/>
        </w:rPr>
        <w:t>章 防灾减灾</w:t>
      </w:r>
      <w:bookmarkEnd w:id="21"/>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九</w:t>
      </w:r>
      <w:r>
        <w:rPr>
          <w:rFonts w:hint="eastAsia" w:ascii="微软雅黑" w:hAnsi="微软雅黑" w:eastAsia="微软雅黑" w:cs="微软雅黑"/>
          <w:b/>
          <w:sz w:val="24"/>
          <w:szCs w:val="24"/>
        </w:rPr>
        <w:t>条 防震抗震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lang w:val="en-GB"/>
        </w:rPr>
        <w:t>贯彻“预防为主，防、避、救相结合”的防震方针，对不安全的建筑要进行加固或拆迁。</w:t>
      </w:r>
      <w:r>
        <w:rPr>
          <w:rFonts w:hint="eastAsia" w:ascii="微软雅黑" w:hAnsi="微软雅黑" w:eastAsia="微软雅黑" w:cs="微软雅黑"/>
          <w:sz w:val="24"/>
        </w:rPr>
        <w:t>村</w:t>
      </w:r>
      <w:r>
        <w:rPr>
          <w:rFonts w:hint="eastAsia" w:ascii="微软雅黑" w:hAnsi="微软雅黑" w:eastAsia="微软雅黑" w:cs="微软雅黑"/>
          <w:sz w:val="24"/>
          <w:lang w:val="en-GB"/>
        </w:rPr>
        <w:t>域所有建筑物按6度设防，重要建筑物和生命线工程按7度设防，建议所有农房建设增设圈梁。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w:t>
      </w:r>
      <w:r>
        <w:rPr>
          <w:rFonts w:hint="eastAsia" w:ascii="微软雅黑" w:hAnsi="微软雅黑" w:eastAsia="微软雅黑" w:cs="微软雅黑"/>
          <w:b/>
          <w:sz w:val="24"/>
          <w:szCs w:val="24"/>
        </w:rPr>
        <w:t>条 防气象灾害</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加强气象灾害预测、预报和预防工作，对村民进行气象灾害相关知识培训。集中居民点所有建构筑单体，必须按防雷规范进行设计，设置安全的避雷装置。并采取必要的抗风措施。</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四十一</w:t>
      </w:r>
      <w:r>
        <w:rPr>
          <w:rFonts w:hint="eastAsia" w:ascii="微软雅黑" w:hAnsi="微软雅黑" w:eastAsia="微软雅黑" w:cs="微软雅黑"/>
          <w:b/>
          <w:sz w:val="24"/>
          <w:szCs w:val="24"/>
        </w:rPr>
        <w:t>条 防洪</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加强溪河两侧及山地的绿化带建设，根据实际情况对塘堤加固、加高。集中居民点按照十年一遇洪水标准设防，规划主要采用截洪渠为排水防洪系统，加强对山洪的防范。</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四十二</w:t>
      </w:r>
      <w:r>
        <w:rPr>
          <w:rFonts w:hint="eastAsia" w:ascii="微软雅黑" w:hAnsi="微软雅黑" w:eastAsia="微软雅黑" w:cs="微软雅黑"/>
          <w:b/>
          <w:sz w:val="24"/>
          <w:szCs w:val="24"/>
        </w:rPr>
        <w:t>条 防地质灾害</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对</w:t>
      </w:r>
      <w:r>
        <w:rPr>
          <w:rFonts w:hint="eastAsia" w:ascii="微软雅黑" w:hAnsi="微软雅黑" w:eastAsia="微软雅黑" w:cs="微软雅黑"/>
          <w:sz w:val="24"/>
          <w:lang w:eastAsia="zh-CN"/>
        </w:rPr>
        <w:t>村内</w:t>
      </w:r>
      <w:r>
        <w:rPr>
          <w:rFonts w:hint="eastAsia" w:ascii="微软雅黑" w:hAnsi="微软雅黑" w:eastAsia="微软雅黑" w:cs="微软雅黑"/>
          <w:sz w:val="24"/>
        </w:rPr>
        <w:t>建设</w:t>
      </w:r>
      <w:r>
        <w:rPr>
          <w:rFonts w:hint="eastAsia" w:ascii="微软雅黑" w:hAnsi="微软雅黑" w:eastAsia="微软雅黑" w:cs="微软雅黑"/>
          <w:sz w:val="24"/>
          <w:lang w:eastAsia="zh-CN"/>
        </w:rPr>
        <w:t>活动</w:t>
      </w:r>
      <w:r>
        <w:rPr>
          <w:rFonts w:hint="eastAsia" w:ascii="微软雅黑" w:hAnsi="微软雅黑" w:eastAsia="微软雅黑" w:cs="微软雅黑"/>
          <w:sz w:val="24"/>
        </w:rPr>
        <w:t>同步进行地质灾害评估，所有工程项目均应在进行地质勘察和进行工程建设危险性评估后方可建设，所有建设区严禁在地质灾害危险区进行建设。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四十三</w:t>
      </w:r>
      <w:r>
        <w:rPr>
          <w:rFonts w:hint="eastAsia" w:ascii="微软雅黑" w:hAnsi="微软雅黑" w:eastAsia="微软雅黑" w:cs="微软雅黑"/>
          <w:b/>
          <w:sz w:val="24"/>
          <w:szCs w:val="24"/>
        </w:rPr>
        <w:t>条 消防</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消防水源以村供水设施为主，堰塘、水池等地表水为辅，将靠近集中居民点的山坪塘纳入消防水源进行管理。逐步建设现代化的火警报警设施，在集中居民点等公共活动密集区设置室外消防栓，间距不大于120米。</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四十四</w:t>
      </w:r>
      <w:r>
        <w:rPr>
          <w:rFonts w:hint="eastAsia" w:ascii="微软雅黑" w:hAnsi="微软雅黑" w:eastAsia="微软雅黑" w:cs="微软雅黑"/>
          <w:b/>
          <w:sz w:val="24"/>
          <w:szCs w:val="24"/>
        </w:rPr>
        <w:t>条 动植物检验检疫</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rPr>
        <w:t>健全动物防疫检疫监测体系和植物病虫害防控体系，提高农产品质量安全水平，在村级公共服务中心建立动植物检疫点，加强防疫员培训。</w:t>
      </w:r>
    </w:p>
    <w:p>
      <w:pPr>
        <w:spacing w:line="360" w:lineRule="auto"/>
        <w:jc w:val="center"/>
        <w:outlineLvl w:val="0"/>
        <w:rPr>
          <w:rFonts w:hint="eastAsia" w:ascii="微软雅黑" w:hAnsi="微软雅黑" w:eastAsia="微软雅黑" w:cs="微软雅黑"/>
          <w:b/>
          <w:color w:val="000000"/>
          <w:sz w:val="28"/>
          <w:szCs w:val="24"/>
        </w:rPr>
      </w:pPr>
      <w:bookmarkStart w:id="22" w:name="_Toc488239696"/>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二</w:t>
      </w:r>
      <w:r>
        <w:rPr>
          <w:rFonts w:hint="eastAsia" w:ascii="微软雅黑" w:hAnsi="微软雅黑" w:eastAsia="微软雅黑" w:cs="微软雅黑"/>
          <w:b/>
          <w:color w:val="000000"/>
          <w:sz w:val="28"/>
          <w:szCs w:val="24"/>
        </w:rPr>
        <w:t>章 规划分期</w:t>
      </w:r>
      <w:bookmarkEnd w:id="22"/>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四十五</w:t>
      </w:r>
      <w:r>
        <w:rPr>
          <w:rFonts w:hint="eastAsia" w:ascii="微软雅黑" w:hAnsi="微软雅黑" w:eastAsia="微软雅黑" w:cs="微软雅黑"/>
          <w:b/>
          <w:sz w:val="24"/>
          <w:szCs w:val="24"/>
        </w:rPr>
        <w:t>条 近期建设项目</w:t>
      </w:r>
    </w:p>
    <w:p>
      <w:pPr>
        <w:spacing w:line="360" w:lineRule="auto"/>
        <w:ind w:firstLine="480" w:firstLineChars="200"/>
        <w:rPr>
          <w:rFonts w:hint="eastAsia" w:ascii="微软雅黑" w:hAnsi="微软雅黑" w:eastAsia="微软雅黑" w:cs="微软雅黑"/>
          <w:kern w:val="2"/>
          <w:sz w:val="24"/>
          <w:szCs w:val="28"/>
          <w:lang w:val="en-GB" w:eastAsia="zh-CN" w:bidi="ar-SA"/>
        </w:rPr>
      </w:pPr>
      <w:r>
        <w:rPr>
          <w:rFonts w:hint="eastAsia" w:ascii="微软雅黑" w:hAnsi="微软雅黑" w:eastAsia="微软雅黑" w:cs="微软雅黑"/>
          <w:kern w:val="2"/>
          <w:sz w:val="24"/>
          <w:szCs w:val="28"/>
          <w:lang w:val="en-GB" w:eastAsia="zh-CN" w:bidi="ar-SA"/>
        </w:rPr>
        <w:t>公路方面建设龙坪村内道路硬化以及拓宽。能源方面推广全村沼气池。产业发展方面发展优质水稻，规模化高山水稻种植。</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四十六</w:t>
      </w:r>
      <w:r>
        <w:rPr>
          <w:rFonts w:hint="eastAsia" w:ascii="微软雅黑" w:hAnsi="微软雅黑" w:eastAsia="微软雅黑" w:cs="微软雅黑"/>
          <w:b/>
          <w:sz w:val="24"/>
          <w:szCs w:val="24"/>
        </w:rPr>
        <w:t>条 远期建设</w:t>
      </w:r>
    </w:p>
    <w:p>
      <w:pPr>
        <w:spacing w:line="360" w:lineRule="auto"/>
        <w:ind w:firstLine="480" w:firstLineChars="200"/>
        <w:rPr>
          <w:rFonts w:hint="eastAsia" w:ascii="微软雅黑" w:hAnsi="微软雅黑" w:eastAsia="微软雅黑" w:cs="微软雅黑"/>
          <w:kern w:val="2"/>
          <w:sz w:val="24"/>
          <w:szCs w:val="28"/>
          <w:lang w:val="en-GB" w:eastAsia="zh-CN" w:bidi="ar-SA"/>
        </w:rPr>
      </w:pPr>
      <w:bookmarkStart w:id="23" w:name="_Toc488239697"/>
      <w:r>
        <w:rPr>
          <w:rFonts w:hint="eastAsia" w:ascii="微软雅黑" w:hAnsi="微软雅黑" w:eastAsia="微软雅黑" w:cs="微软雅黑"/>
          <w:kern w:val="2"/>
          <w:sz w:val="24"/>
          <w:szCs w:val="28"/>
          <w:lang w:val="en-GB" w:eastAsia="zh-CN" w:bidi="ar-SA"/>
        </w:rPr>
        <w:t>在整村脱贫之后，在巩固成绩的基础上逐年推进，实现机械化、规模化、生态化绿色农业；农民生活宽裕，20</w:t>
      </w:r>
      <w:r>
        <w:rPr>
          <w:rFonts w:hint="eastAsia" w:ascii="微软雅黑" w:hAnsi="微软雅黑" w:eastAsia="微软雅黑" w:cs="微软雅黑"/>
          <w:kern w:val="2"/>
          <w:sz w:val="24"/>
          <w:szCs w:val="28"/>
          <w:lang w:val="en-US" w:eastAsia="zh-CN" w:bidi="ar-SA"/>
        </w:rPr>
        <w:t>25</w:t>
      </w:r>
      <w:r>
        <w:rPr>
          <w:rFonts w:hint="eastAsia" w:ascii="微软雅黑" w:hAnsi="微软雅黑" w:eastAsia="微软雅黑" w:cs="微软雅黑"/>
          <w:kern w:val="2"/>
          <w:sz w:val="24"/>
          <w:szCs w:val="28"/>
          <w:lang w:val="en-GB" w:eastAsia="zh-CN" w:bidi="ar-SA"/>
        </w:rPr>
        <w:t>年主要经济指标在现有基础上翻两番，全面实现小康；村民具有先进的思想观念、良好的道德风尚、科学健康的生活方式、文明向上的社会风貌；农村居民居住区环境进一步改善，村容整洁、设施标准、服务完善，管理有序；基层民主选举、民主决策、民主管理和民主监督机制完善，依法自治的能力不断增强。集体经济实力增强，建成梁平地区有一定示范和样板作用的美丽乡村示范点。</w:t>
      </w:r>
    </w:p>
    <w:p>
      <w:pPr>
        <w:spacing w:line="360" w:lineRule="auto"/>
        <w:jc w:val="center"/>
        <w:outlineLvl w:val="0"/>
        <w:rPr>
          <w:rFonts w:hint="eastAsia" w:ascii="微软雅黑" w:hAnsi="微软雅黑" w:eastAsia="微软雅黑" w:cs="微软雅黑"/>
        </w:rPr>
      </w:pPr>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三</w:t>
      </w:r>
      <w:r>
        <w:rPr>
          <w:rFonts w:hint="eastAsia" w:ascii="微软雅黑" w:hAnsi="微软雅黑" w:eastAsia="微软雅黑" w:cs="微软雅黑"/>
          <w:b/>
          <w:color w:val="000000"/>
          <w:sz w:val="28"/>
          <w:szCs w:val="24"/>
        </w:rPr>
        <w:t>章 规划实施保障</w:t>
      </w:r>
      <w:bookmarkEnd w:id="23"/>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四十七</w:t>
      </w:r>
      <w:r>
        <w:rPr>
          <w:rFonts w:hint="eastAsia" w:ascii="微软雅黑" w:hAnsi="微软雅黑" w:eastAsia="微软雅黑" w:cs="微软雅黑"/>
          <w:b/>
          <w:sz w:val="24"/>
          <w:szCs w:val="24"/>
        </w:rPr>
        <w:t>条 规划管理</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加强管理，建立村民主动参与建设管理的制度，严格查处违法占地和违法建设行为，严格查处规划建设管理中的违法失职行为，保证本规划的有效实施。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rPr>
        <w:t>在确保集中居民点建设用地总规模不突破的前提下，农村宅基地和村民整理节约的土地仍属农民集体所有，保证农民利益。</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四十八</w:t>
      </w:r>
      <w:r>
        <w:rPr>
          <w:rFonts w:hint="eastAsia" w:ascii="微软雅黑" w:hAnsi="微软雅黑" w:eastAsia="微软雅黑" w:cs="微软雅黑"/>
          <w:b/>
          <w:sz w:val="24"/>
          <w:szCs w:val="24"/>
        </w:rPr>
        <w:t>条 规划技术</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加强农村</w:t>
      </w:r>
      <w:r>
        <w:rPr>
          <w:rFonts w:hint="eastAsia" w:ascii="微软雅黑" w:hAnsi="微软雅黑" w:eastAsia="微软雅黑" w:cs="微软雅黑"/>
          <w:sz w:val="24"/>
          <w:szCs w:val="24"/>
          <w:lang w:eastAsia="zh-CN"/>
        </w:rPr>
        <w:t>建房</w:t>
      </w:r>
      <w:r>
        <w:rPr>
          <w:rFonts w:hint="eastAsia" w:ascii="微软雅黑" w:hAnsi="微软雅黑" w:eastAsia="微软雅黑" w:cs="微软雅黑"/>
          <w:sz w:val="24"/>
          <w:szCs w:val="24"/>
        </w:rPr>
        <w:t>规划标准的研究，指导</w:t>
      </w:r>
      <w:r>
        <w:rPr>
          <w:rFonts w:hint="eastAsia" w:ascii="微软雅黑" w:hAnsi="微软雅黑" w:eastAsia="微软雅黑" w:cs="微软雅黑"/>
          <w:sz w:val="24"/>
          <w:szCs w:val="24"/>
          <w:lang w:eastAsia="zh-CN"/>
        </w:rPr>
        <w:t>居民建筑</w:t>
      </w:r>
      <w:r>
        <w:rPr>
          <w:rFonts w:hint="eastAsia" w:ascii="微软雅黑" w:hAnsi="微软雅黑" w:eastAsia="微软雅黑" w:cs="微软雅黑"/>
          <w:sz w:val="24"/>
          <w:szCs w:val="24"/>
        </w:rPr>
        <w:t>建设。加强镇域规划及相关专项规划的修编工作，以便在更大的范围内统筹兼顾，协调新农村建设。</w:t>
      </w:r>
    </w:p>
    <w:p>
      <w:pPr>
        <w:spacing w:line="360" w:lineRule="auto"/>
        <w:jc w:val="center"/>
        <w:outlineLvl w:val="0"/>
        <w:rPr>
          <w:rFonts w:hint="eastAsia" w:ascii="微软雅黑" w:hAnsi="微软雅黑" w:eastAsia="微软雅黑" w:cs="微软雅黑"/>
          <w:b/>
          <w:color w:val="000000"/>
          <w:sz w:val="28"/>
          <w:szCs w:val="24"/>
        </w:rPr>
      </w:pPr>
      <w:bookmarkStart w:id="24" w:name="_Toc488239698"/>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四</w:t>
      </w:r>
      <w:r>
        <w:rPr>
          <w:rFonts w:hint="eastAsia" w:ascii="微软雅黑" w:hAnsi="微软雅黑" w:eastAsia="微软雅黑" w:cs="微软雅黑"/>
          <w:b/>
          <w:color w:val="000000"/>
          <w:sz w:val="28"/>
          <w:szCs w:val="24"/>
        </w:rPr>
        <w:t>章 附则</w:t>
      </w:r>
      <w:bookmarkEnd w:id="24"/>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四十九</w:t>
      </w:r>
      <w:r>
        <w:rPr>
          <w:rFonts w:hint="eastAsia" w:ascii="微软雅黑" w:hAnsi="微软雅黑" w:eastAsia="微软雅黑" w:cs="微软雅黑"/>
          <w:b/>
          <w:sz w:val="24"/>
          <w:szCs w:val="24"/>
        </w:rPr>
        <w:t>条 本规划自</w:t>
      </w:r>
      <w:r>
        <w:rPr>
          <w:rFonts w:hint="eastAsia" w:ascii="微软雅黑" w:hAnsi="微软雅黑" w:eastAsia="微软雅黑" w:cs="微软雅黑"/>
          <w:b/>
          <w:sz w:val="24"/>
          <w:szCs w:val="24"/>
          <w:lang w:eastAsia="zh-CN"/>
        </w:rPr>
        <w:t>梁平</w:t>
      </w:r>
      <w:r>
        <w:rPr>
          <w:rFonts w:hint="eastAsia" w:ascii="微软雅黑" w:hAnsi="微软雅黑" w:eastAsia="微软雅黑" w:cs="微软雅黑"/>
          <w:b/>
          <w:sz w:val="24"/>
          <w:szCs w:val="24"/>
        </w:rPr>
        <w:t>区人民政府批准之日起生效。</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五十</w:t>
      </w:r>
      <w:r>
        <w:rPr>
          <w:rFonts w:hint="eastAsia" w:ascii="微软雅黑" w:hAnsi="微软雅黑" w:eastAsia="微软雅黑" w:cs="微软雅黑"/>
          <w:b/>
          <w:sz w:val="24"/>
          <w:szCs w:val="24"/>
        </w:rPr>
        <w:t>条 本规划一经批准，任何单位和个人不得擅自更改。确需对本规划进行更改时，必须按规定程序进行。</w:t>
      </w:r>
    </w:p>
    <w:p>
      <w:pPr>
        <w:widowControl/>
        <w:jc w:val="center"/>
        <w:rPr>
          <w:rFonts w:hint="eastAsia" w:ascii="微软雅黑" w:hAnsi="微软雅黑" w:eastAsia="微软雅黑" w:cs="微软雅黑"/>
          <w:b/>
          <w:bCs/>
          <w:kern w:val="0"/>
          <w:sz w:val="24"/>
          <w:szCs w:val="24"/>
        </w:rPr>
      </w:pPr>
    </w:p>
    <w:p>
      <w:pPr>
        <w:widowControl/>
        <w:jc w:val="center"/>
        <w:rPr>
          <w:rFonts w:hint="eastAsia" w:ascii="微软雅黑" w:hAnsi="微软雅黑" w:eastAsia="微软雅黑" w:cs="微软雅黑"/>
          <w:b/>
          <w:bCs/>
          <w:kern w:val="0"/>
          <w:sz w:val="24"/>
          <w:szCs w:val="24"/>
        </w:rPr>
      </w:pPr>
    </w:p>
    <w:p>
      <w:pPr>
        <w:pStyle w:val="3"/>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附表一  </w:t>
      </w:r>
      <w:r>
        <w:rPr>
          <w:rFonts w:hint="eastAsia" w:ascii="微软雅黑" w:hAnsi="微软雅黑" w:eastAsia="微软雅黑" w:cs="微软雅黑"/>
          <w:sz w:val="21"/>
          <w:szCs w:val="21"/>
        </w:rPr>
        <w:t>村域空间功能布局规划一览表</w:t>
      </w:r>
    </w:p>
    <w:tbl>
      <w:tblPr>
        <w:tblStyle w:val="14"/>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2886"/>
        <w:gridCol w:w="2022"/>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空间类型</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用地类型</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面积（公顷）</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restart"/>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生态空间</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自然保护区</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风景名胜区</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森林公园</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湿地公园</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“四山”地区</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饮用水源及其保护区</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林地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156.63</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水域</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3.38</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自然保留地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90.76</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美丽山水需要保护的范围</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生态恢复区</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其他生态空间</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小计</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250.77</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restart"/>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农业空间</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耕地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273.13</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园地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33.95</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牧草地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设施农用地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田坎</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54.73</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农村道路</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4.10</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坑塘水面</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0.66</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农田水利用地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0.20</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小计</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366.77</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restart"/>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建设空间</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城乡建设用地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40.13</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交通水利用地</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0.02</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其它建设用地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小计</w:t>
            </w: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40.15</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restart"/>
            <w:shd w:val="clear" w:color="auto" w:fill="auto"/>
            <w:vAlign w:val="center"/>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非集体建设用地</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城镇工矿用地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交通水利用地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22" w:type="dxa"/>
            <w:vMerge w:val="continue"/>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其他建设用地</w:t>
            </w:r>
          </w:p>
        </w:tc>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22"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合计</w:t>
            </w:r>
          </w:p>
        </w:tc>
        <w:tc>
          <w:tcPr>
            <w:tcW w:w="2886"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c>
          <w:tcPr>
            <w:tcW w:w="2022" w:type="dxa"/>
            <w:shd w:val="clear" w:color="auto" w:fill="auto"/>
            <w:vAlign w:val="top"/>
          </w:tcPr>
          <w:p>
            <w:pPr>
              <w:pStyle w:val="48"/>
              <w:ind w:firstLine="0" w:firstLineChars="0"/>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657.69</w:t>
            </w:r>
          </w:p>
        </w:tc>
        <w:tc>
          <w:tcPr>
            <w:tcW w:w="1448" w:type="dxa"/>
            <w:shd w:val="clear" w:color="auto" w:fill="auto"/>
            <w:vAlign w:val="top"/>
          </w:tcPr>
          <w:p>
            <w:pPr>
              <w:pStyle w:val="48"/>
              <w:ind w:firstLine="0" w:firstLineChars="0"/>
              <w:jc w:val="center"/>
              <w:rPr>
                <w:rFonts w:hint="eastAsia" w:ascii="微软雅黑" w:hAnsi="微软雅黑" w:eastAsia="微软雅黑" w:cs="微软雅黑"/>
                <w:color w:val="000000"/>
                <w:kern w:val="0"/>
                <w:sz w:val="18"/>
                <w:szCs w:val="18"/>
                <w:lang w:val="en-US" w:eastAsia="zh-CN" w:bidi="ar-SA"/>
              </w:rPr>
            </w:pPr>
          </w:p>
        </w:tc>
      </w:tr>
    </w:tbl>
    <w:p>
      <w:pPr>
        <w:pStyle w:val="3"/>
        <w:jc w:val="center"/>
        <w:rPr>
          <w:rFonts w:hint="eastAsia" w:ascii="微软雅黑" w:hAnsi="微软雅黑" w:eastAsia="微软雅黑" w:cs="微软雅黑"/>
          <w:color w:val="auto"/>
          <w:sz w:val="21"/>
          <w:szCs w:val="21"/>
          <w:lang w:val="en-US" w:eastAsia="zh-CN"/>
        </w:rPr>
      </w:pPr>
    </w:p>
    <w:p>
      <w:pPr>
        <w:pStyle w:val="3"/>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 xml:space="preserve">附表二 </w:t>
      </w:r>
      <w:r>
        <w:rPr>
          <w:rFonts w:hint="eastAsia" w:ascii="微软雅黑" w:hAnsi="微软雅黑" w:eastAsia="微软雅黑" w:cs="微软雅黑"/>
          <w:color w:val="auto"/>
          <w:sz w:val="21"/>
          <w:szCs w:val="21"/>
        </w:rPr>
        <w:t xml:space="preserve"> </w:t>
      </w:r>
      <w:r>
        <w:rPr>
          <w:rFonts w:hint="eastAsia" w:ascii="微软雅黑" w:hAnsi="微软雅黑" w:eastAsia="微软雅黑" w:cs="微软雅黑"/>
          <w:color w:val="auto"/>
          <w:sz w:val="21"/>
          <w:szCs w:val="21"/>
          <w:lang w:eastAsia="zh-CN"/>
        </w:rPr>
        <w:t>龙坪村</w:t>
      </w:r>
      <w:r>
        <w:rPr>
          <w:rFonts w:hint="eastAsia" w:ascii="Calibri Light" w:hAnsi="Calibri Light" w:eastAsia="宋体" w:cs="Times New Roman"/>
          <w:kern w:val="2"/>
          <w:sz w:val="24"/>
          <w:szCs w:val="20"/>
          <w:lang w:val="en-US" w:eastAsia="zh-CN" w:bidi="ar-SA"/>
        </w:rPr>
        <w:t>现状土地利用汇总表</w:t>
      </w:r>
    </w:p>
    <w:tbl>
      <w:tblPr>
        <w:tblStyle w:val="14"/>
        <w:tblW w:w="522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7"/>
        <w:gridCol w:w="1392"/>
        <w:gridCol w:w="2889"/>
        <w:gridCol w:w="1710"/>
        <w:gridCol w:w="17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eastAsia"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一级类</w:t>
            </w:r>
          </w:p>
        </w:tc>
        <w:tc>
          <w:tcPr>
            <w:tcW w:w="782"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二级类</w:t>
            </w:r>
          </w:p>
        </w:tc>
        <w:tc>
          <w:tcPr>
            <w:tcW w:w="1622"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三级类</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面积</w:t>
            </w:r>
            <w:r>
              <w:rPr>
                <w:rFonts w:hint="eastAsia" w:ascii="微软雅黑" w:hAnsi="微软雅黑" w:eastAsia="微软雅黑" w:cs="微软雅黑"/>
                <w:color w:val="000000"/>
                <w:kern w:val="0"/>
                <w:sz w:val="18"/>
                <w:szCs w:val="18"/>
                <w:lang w:val="en-US" w:eastAsia="zh-CN" w:bidi="ar-SA"/>
              </w:rPr>
              <w:t>（公顷）</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比例</w:t>
            </w:r>
            <w:r>
              <w:rPr>
                <w:rFonts w:hint="eastAsia" w:ascii="微软雅黑" w:hAnsi="微软雅黑" w:eastAsia="微软雅黑" w:cs="微软雅黑"/>
                <w:color w:val="000000"/>
                <w:kern w:val="0"/>
                <w:sz w:val="18"/>
                <w:szCs w:val="18"/>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农用地</w:t>
            </w: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耕地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100.73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旱地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197.36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30.01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园地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1.98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林地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157.73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23.98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牧草地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90.76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其他农用地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设施农用地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color w:val="000000"/>
                <w:kern w:val="0"/>
                <w:sz w:val="18"/>
                <w:szCs w:val="18"/>
                <w:lang w:val="en-US" w:eastAsia="zh-CN" w:bidi="ar-SA"/>
              </w:rPr>
            </w:pP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农村道路</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4.10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坑塘水面</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0.66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农田水利用地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0.20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田坎</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60.16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9.15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30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农用地合计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613.68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93.31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建设用地</w:t>
            </w:r>
          </w:p>
        </w:tc>
        <w:tc>
          <w:tcPr>
            <w:tcW w:w="782"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城乡建设用地</w:t>
            </w:r>
          </w:p>
        </w:tc>
        <w:tc>
          <w:tcPr>
            <w:tcW w:w="1622"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农村居民点用地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40.61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交通水利用地</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公路用地</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0.02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30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建设用地合计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40.65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6.18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其他土地</w:t>
            </w:r>
          </w:p>
        </w:tc>
        <w:tc>
          <w:tcPr>
            <w:tcW w:w="782"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水域</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河流水面</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2.63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782"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滩涂</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0.75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30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其他土地合计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3.38 </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0.51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30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合计</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657.</w:t>
            </w:r>
            <w:r>
              <w:rPr>
                <w:rFonts w:hint="eastAsia" w:ascii="微软雅黑" w:hAnsi="微软雅黑" w:eastAsia="微软雅黑" w:cs="微软雅黑"/>
                <w:color w:val="000000"/>
                <w:kern w:val="0"/>
                <w:sz w:val="18"/>
                <w:szCs w:val="18"/>
                <w:lang w:val="en-US" w:eastAsia="zh-CN"/>
              </w:rPr>
              <w:t>69</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100.00 </w:t>
            </w:r>
          </w:p>
        </w:tc>
      </w:tr>
    </w:tbl>
    <w:p>
      <w:pPr>
        <w:pStyle w:val="3"/>
        <w:jc w:val="center"/>
        <w:rPr>
          <w:rFonts w:hint="eastAsia" w:ascii="微软雅黑" w:hAnsi="微软雅黑" w:eastAsia="微软雅黑" w:cs="微软雅黑"/>
          <w:sz w:val="21"/>
          <w:szCs w:val="21"/>
          <w:lang w:val="en-US" w:eastAsia="zh-CN"/>
        </w:rPr>
      </w:pPr>
    </w:p>
    <w:p>
      <w:pPr>
        <w:pStyle w:val="3"/>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附表三  </w:t>
      </w:r>
      <w:r>
        <w:rPr>
          <w:rFonts w:hint="eastAsia" w:ascii="微软雅黑" w:hAnsi="微软雅黑" w:eastAsia="微软雅黑" w:cs="微软雅黑"/>
          <w:sz w:val="21"/>
          <w:szCs w:val="21"/>
          <w:lang w:eastAsia="zh-CN"/>
        </w:rPr>
        <w:t>龙坪村</w:t>
      </w:r>
      <w:r>
        <w:rPr>
          <w:rFonts w:hint="eastAsia" w:ascii="微软雅黑" w:hAnsi="微软雅黑" w:eastAsia="微软雅黑" w:cs="微软雅黑"/>
          <w:sz w:val="21"/>
          <w:szCs w:val="21"/>
        </w:rPr>
        <w:t>土地利用规划地类统计表</w:t>
      </w:r>
    </w:p>
    <w:tbl>
      <w:tblPr>
        <w:tblStyle w:val="14"/>
        <w:tblW w:w="498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7"/>
        <w:gridCol w:w="1385"/>
        <w:gridCol w:w="1577"/>
        <w:gridCol w:w="1478"/>
        <w:gridCol w:w="1535"/>
        <w:gridCol w:w="1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eastAsia"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一级类</w:t>
            </w:r>
          </w:p>
        </w:tc>
        <w:tc>
          <w:tcPr>
            <w:tcW w:w="815"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二级类</w:t>
            </w:r>
          </w:p>
        </w:tc>
        <w:tc>
          <w:tcPr>
            <w:tcW w:w="928" w:type="pc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三级类</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四级类</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面积</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农用地</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耕地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99.35</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旱地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17</w:t>
            </w:r>
            <w:r>
              <w:rPr>
                <w:rFonts w:hint="eastAsia" w:ascii="微软雅黑" w:hAnsi="微软雅黑" w:eastAsia="微软雅黑" w:cs="微软雅黑"/>
                <w:color w:val="000000"/>
                <w:kern w:val="0"/>
                <w:sz w:val="18"/>
                <w:szCs w:val="18"/>
                <w:lang w:val="en-US" w:eastAsia="zh-CN" w:bidi="ar-SA"/>
              </w:rPr>
              <w:t>3.78</w:t>
            </w:r>
            <w:r>
              <w:rPr>
                <w:rFonts w:hint="default" w:ascii="微软雅黑" w:hAnsi="微软雅黑" w:eastAsia="微软雅黑" w:cs="微软雅黑"/>
                <w:color w:val="000000"/>
                <w:kern w:val="0"/>
                <w:sz w:val="18"/>
                <w:szCs w:val="18"/>
                <w:lang w:val="en-US" w:eastAsia="zh-CN" w:bidi="ar-SA"/>
              </w:rPr>
              <w:t xml:space="preserve">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26.42</w:t>
            </w:r>
            <w:r>
              <w:rPr>
                <w:rFonts w:hint="default" w:ascii="微软雅黑" w:hAnsi="微软雅黑" w:eastAsia="微软雅黑" w:cs="微软雅黑"/>
                <w:color w:val="000000"/>
                <w:kern w:val="0"/>
                <w:sz w:val="18"/>
                <w:szCs w:val="18"/>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园地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33.95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5.16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林地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156.</w:t>
            </w:r>
            <w:r>
              <w:rPr>
                <w:rFonts w:hint="eastAsia" w:ascii="微软雅黑" w:hAnsi="微软雅黑" w:eastAsia="微软雅黑" w:cs="微软雅黑"/>
                <w:color w:val="000000"/>
                <w:kern w:val="0"/>
                <w:sz w:val="18"/>
                <w:szCs w:val="18"/>
                <w:lang w:val="en-US" w:eastAsia="zh-CN" w:bidi="ar-SA"/>
              </w:rPr>
              <w:t>63</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23.</w:t>
            </w:r>
            <w:r>
              <w:rPr>
                <w:rFonts w:hint="eastAsia" w:ascii="微软雅黑" w:hAnsi="微软雅黑" w:eastAsia="微软雅黑" w:cs="微软雅黑"/>
                <w:color w:val="000000"/>
                <w:kern w:val="0"/>
                <w:sz w:val="18"/>
                <w:szCs w:val="18"/>
                <w:lang w:val="en-US" w:eastAsia="zh-CN" w:bidi="ar-SA"/>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牧草地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其他农用地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设施农用地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农村道路</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4.10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坑塘水面</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0.66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农田水利用地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0.20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田坎</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54.73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8.32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325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农用地合计</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lang w:val="en-US" w:eastAsia="zh-CN" w:bidi="ar-SA"/>
              </w:rPr>
              <w:t>523.40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7</w:t>
            </w:r>
            <w:r>
              <w:rPr>
                <w:rFonts w:hint="eastAsia" w:ascii="微软雅黑" w:hAnsi="微软雅黑" w:eastAsia="微软雅黑" w:cs="微软雅黑"/>
                <w:color w:val="000000"/>
                <w:kern w:val="0"/>
                <w:sz w:val="18"/>
                <w:szCs w:val="18"/>
                <w:lang w:val="en-US" w:eastAsia="zh-CN" w:bidi="ar-SA"/>
              </w:rPr>
              <w:t>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建设用地</w:t>
            </w:r>
          </w:p>
        </w:tc>
        <w:tc>
          <w:tcPr>
            <w:tcW w:w="815"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城乡建设用地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城镇用地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农村居民点用地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宅基地（村居住用地）</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4</w:t>
            </w:r>
            <w:r>
              <w:rPr>
                <w:rFonts w:hint="eastAsia" w:ascii="微软雅黑" w:hAnsi="微软雅黑" w:eastAsia="微软雅黑" w:cs="微软雅黑"/>
                <w:color w:val="000000"/>
                <w:kern w:val="0"/>
                <w:sz w:val="18"/>
                <w:szCs w:val="18"/>
                <w:lang w:val="en-US" w:eastAsia="zh-CN" w:bidi="ar-SA"/>
              </w:rPr>
              <w:t>0.13</w:t>
            </w:r>
            <w:r>
              <w:rPr>
                <w:rFonts w:hint="default" w:ascii="微软雅黑" w:hAnsi="微软雅黑" w:eastAsia="微软雅黑" w:cs="微软雅黑"/>
                <w:color w:val="000000"/>
                <w:kern w:val="0"/>
                <w:sz w:val="18"/>
                <w:szCs w:val="18"/>
                <w:lang w:val="en-US" w:eastAsia="zh-CN" w:bidi="ar-SA"/>
              </w:rPr>
              <w:t xml:space="preserve">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6.</w:t>
            </w:r>
            <w:r>
              <w:rPr>
                <w:rFonts w:hint="eastAsia" w:ascii="微软雅黑" w:hAnsi="微软雅黑" w:eastAsia="微软雅黑" w:cs="微软雅黑"/>
                <w:color w:val="000000"/>
                <w:kern w:val="0"/>
                <w:sz w:val="18"/>
                <w:szCs w:val="18"/>
                <w:lang w:val="en-US" w:eastAsia="zh-CN" w:bidi="ar-SA"/>
              </w:rPr>
              <w:t>10</w:t>
            </w:r>
            <w:r>
              <w:rPr>
                <w:rFonts w:hint="default" w:ascii="微软雅黑" w:hAnsi="微软雅黑" w:eastAsia="微软雅黑" w:cs="微软雅黑"/>
                <w:color w:val="000000"/>
                <w:kern w:val="0"/>
                <w:sz w:val="18"/>
                <w:szCs w:val="18"/>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村产业用地</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村公共服务用地</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村混合用地</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村基础设施用地</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采矿用地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其他独立建设用地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交通水利用地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铁路用地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公路用地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0.02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水库水面</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水工建筑用地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其他建设用地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风景名胜设施用地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特殊用地</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325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建设用地合计</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44.28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6.73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其他土地</w:t>
            </w:r>
          </w:p>
        </w:tc>
        <w:tc>
          <w:tcPr>
            <w:tcW w:w="815" w:type="pct"/>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水域</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河流水面</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2.63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湖泊水面</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微软雅黑" w:hAnsi="微软雅黑" w:eastAsia="微软雅黑" w:cs="微软雅黑"/>
                <w:color w:val="000000"/>
                <w:kern w:val="0"/>
                <w:sz w:val="18"/>
                <w:szCs w:val="18"/>
                <w:lang w:val="en-US" w:eastAsia="zh-CN" w:bidi="ar-SA"/>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滩涂</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0.75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自然保留地</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color w:val="000000"/>
                <w:kern w:val="0"/>
                <w:sz w:val="18"/>
                <w:szCs w:val="18"/>
                <w:lang w:val="en-US" w:eastAsia="zh-CN" w:bidi="ar-SA"/>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90.76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color w:val="000000"/>
                <w:kern w:val="0"/>
                <w:sz w:val="18"/>
                <w:szCs w:val="18"/>
                <w:lang w:val="en-US" w:eastAsia="zh-CN" w:bidi="ar-SA"/>
              </w:rPr>
            </w:pPr>
            <w:r>
              <w:rPr>
                <w:rFonts w:hint="default" w:ascii="微软雅黑" w:hAnsi="微软雅黑" w:eastAsia="微软雅黑" w:cs="微软雅黑"/>
                <w:color w:val="000000"/>
                <w:kern w:val="0"/>
                <w:sz w:val="18"/>
                <w:szCs w:val="18"/>
                <w:lang w:val="en-US" w:eastAsia="zh-CN" w:bidi="ar-SA"/>
              </w:rPr>
              <w:t xml:space="preserve">13.80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325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其他土地合计</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94.14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14.31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325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合计</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657.69 </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微软雅黑" w:hAnsi="微软雅黑" w:eastAsia="微软雅黑" w:cs="微软雅黑"/>
                <w:color w:val="000000"/>
                <w:kern w:val="0"/>
                <w:sz w:val="18"/>
                <w:szCs w:val="18"/>
                <w:lang w:val="en-US" w:eastAsia="zh-CN"/>
              </w:rPr>
            </w:pPr>
            <w:r>
              <w:rPr>
                <w:rFonts w:hint="default" w:ascii="微软雅黑" w:hAnsi="微软雅黑" w:eastAsia="微软雅黑" w:cs="微软雅黑"/>
                <w:color w:val="000000"/>
                <w:kern w:val="0"/>
                <w:sz w:val="18"/>
                <w:szCs w:val="18"/>
                <w:lang w:val="en-US" w:eastAsia="zh-CN"/>
              </w:rPr>
              <w:t xml:space="preserve">100.00 </w:t>
            </w:r>
          </w:p>
        </w:tc>
      </w:tr>
    </w:tbl>
    <w:p>
      <w:pPr>
        <w:spacing w:line="360" w:lineRule="auto"/>
        <w:rPr>
          <w:rFonts w:hint="eastAsia" w:ascii="宋体" w:hAnsi="宋体" w:eastAsia="宋体" w:cs="宋体"/>
          <w:color w:val="auto"/>
          <w:sz w:val="24"/>
          <w:szCs w:val="24"/>
          <w:lang w:eastAsia="zh-CN"/>
        </w:rPr>
      </w:pPr>
    </w:p>
    <w:p>
      <w:pPr>
        <w:spacing w:line="360" w:lineRule="auto"/>
        <w:rPr>
          <w:rFonts w:hint="eastAsia" w:ascii="宋体" w:hAnsi="宋体" w:eastAsia="宋体" w:cs="宋体"/>
          <w:color w:val="auto"/>
          <w:sz w:val="24"/>
          <w:szCs w:val="24"/>
          <w:lang w:eastAsia="zh-CN"/>
        </w:rPr>
      </w:pPr>
    </w:p>
    <w:p>
      <w:pPr>
        <w:spacing w:line="360" w:lineRule="auto"/>
        <w:rPr>
          <w:rFonts w:hint="eastAsia" w:ascii="宋体" w:hAnsi="宋体" w:cs="宋体"/>
          <w:color w:val="auto"/>
          <w:sz w:val="24"/>
          <w:szCs w:val="24"/>
          <w:lang w:val="en-US" w:eastAsia="zh-CN"/>
        </w:rPr>
      </w:pPr>
      <w:r>
        <w:rPr>
          <w:rFonts w:hint="eastAsia" w:ascii="宋体" w:hAnsi="宋体" w:eastAsia="宋体" w:cs="宋体"/>
          <w:color w:val="auto"/>
          <w:sz w:val="24"/>
          <w:szCs w:val="24"/>
          <w:lang w:eastAsia="zh-CN"/>
        </w:rPr>
        <w:t>附图：</w:t>
      </w:r>
      <w:r>
        <w:rPr>
          <w:rFonts w:hint="eastAsia" w:ascii="宋体" w:hAnsi="宋体" w:cs="宋体"/>
          <w:color w:val="auto"/>
          <w:sz w:val="24"/>
          <w:szCs w:val="24"/>
          <w:lang w:val="en-US" w:eastAsia="zh-CN"/>
        </w:rPr>
        <w:t>1、土地利用现状图</w:t>
      </w:r>
    </w:p>
    <w:p>
      <w:pPr>
        <w:numPr>
          <w:ilvl w:val="0"/>
          <w:numId w:val="1"/>
        </w:numPr>
        <w:spacing w:line="360" w:lineRule="auto"/>
        <w:ind w:left="720" w:leftChars="0" w:firstLine="0" w:firstLine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土地利用规划图</w:t>
      </w:r>
    </w:p>
    <w:p>
      <w:pPr>
        <w:numPr>
          <w:ilvl w:val="0"/>
          <w:numId w:val="1"/>
        </w:numPr>
        <w:spacing w:line="360" w:lineRule="auto"/>
        <w:ind w:left="720" w:leftChars="0" w:firstLine="0" w:firstLineChars="0"/>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村管制空间分布图</w:t>
      </w:r>
    </w:p>
    <w:p>
      <w:pPr>
        <w:numPr>
          <w:ilvl w:val="0"/>
          <w:numId w:val="1"/>
        </w:numPr>
        <w:spacing w:line="360" w:lineRule="auto"/>
        <w:ind w:left="720" w:leftChars="0" w:firstLine="0" w:firstLineChars="0"/>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三区三线规划图</w:t>
      </w:r>
    </w:p>
    <w:p>
      <w:pPr>
        <w:spacing w:line="360" w:lineRule="auto"/>
        <w:rPr>
          <w:rFonts w:hint="eastAsia" w:ascii="微软雅黑" w:hAnsi="微软雅黑" w:eastAsia="微软雅黑" w:cs="微软雅黑"/>
          <w:sz w:val="24"/>
        </w:rPr>
      </w:pPr>
      <w:bookmarkStart w:id="25" w:name="_GoBack"/>
      <w:bookmarkEnd w:id="25"/>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271135" cy="7457440"/>
            <wp:effectExtent l="0" t="0" r="5715" b="10160"/>
            <wp:docPr id="3" name="图片 3" descr="410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0土地利用现状图"/>
                    <pic:cNvPicPr>
                      <a:picLocks noChangeAspect="1"/>
                    </pic:cNvPicPr>
                  </pic:nvPicPr>
                  <pic:blipFill>
                    <a:blip r:embed="rId10"/>
                    <a:stretch>
                      <a:fillRect/>
                    </a:stretch>
                  </pic:blipFill>
                  <pic:spPr>
                    <a:xfrm>
                      <a:off x="0" y="0"/>
                      <a:ext cx="5271135" cy="7457440"/>
                    </a:xfrm>
                    <a:prstGeom prst="rect">
                      <a:avLst/>
                    </a:prstGeom>
                  </pic:spPr>
                </pic:pic>
              </a:graphicData>
            </a:graphic>
          </wp:inline>
        </w:drawing>
      </w:r>
      <w:r>
        <w:rPr>
          <w:rFonts w:hint="eastAsia" w:ascii="微软雅黑" w:hAnsi="微软雅黑" w:eastAsia="微软雅黑" w:cs="微软雅黑"/>
          <w:sz w:val="24"/>
          <w:lang w:eastAsia="zh-CN"/>
        </w:rPr>
        <w:drawing>
          <wp:inline distT="0" distB="0" distL="114300" distR="114300">
            <wp:extent cx="5271135" cy="7457440"/>
            <wp:effectExtent l="0" t="0" r="5715" b="10160"/>
            <wp:docPr id="2" name="图片 2" descr="420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0土地利用规划图"/>
                    <pic:cNvPicPr>
                      <a:picLocks noChangeAspect="1"/>
                    </pic:cNvPicPr>
                  </pic:nvPicPr>
                  <pic:blipFill>
                    <a:blip r:embed="rId11"/>
                    <a:stretch>
                      <a:fillRect/>
                    </a:stretch>
                  </pic:blipFill>
                  <pic:spPr>
                    <a:xfrm>
                      <a:off x="0" y="0"/>
                      <a:ext cx="5271135" cy="7457440"/>
                    </a:xfrm>
                    <a:prstGeom prst="rect">
                      <a:avLst/>
                    </a:prstGeom>
                  </pic:spPr>
                </pic:pic>
              </a:graphicData>
            </a:graphic>
          </wp:inline>
        </w:drawing>
      </w: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271770" cy="7456805"/>
            <wp:effectExtent l="0" t="0" r="5080" b="10795"/>
            <wp:docPr id="4" name="图片 4" descr="05龙坪村空间管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龙坪村空间管制图"/>
                    <pic:cNvPicPr>
                      <a:picLocks noChangeAspect="1"/>
                    </pic:cNvPicPr>
                  </pic:nvPicPr>
                  <pic:blipFill>
                    <a:blip r:embed="rId12"/>
                    <a:stretch>
                      <a:fillRect/>
                    </a:stretch>
                  </pic:blipFill>
                  <pic:spPr>
                    <a:xfrm>
                      <a:off x="0" y="0"/>
                      <a:ext cx="5271770" cy="7456805"/>
                    </a:xfrm>
                    <a:prstGeom prst="rect">
                      <a:avLst/>
                    </a:prstGeom>
                  </pic:spPr>
                </pic:pic>
              </a:graphicData>
            </a:graphic>
          </wp:inline>
        </w:drawing>
      </w: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271135" cy="7457440"/>
            <wp:effectExtent l="0" t="0" r="5715" b="10160"/>
            <wp:docPr id="5" name="图片 5" descr="06龙坪村三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龙坪村三生空间规划图"/>
                    <pic:cNvPicPr>
                      <a:picLocks noChangeAspect="1"/>
                    </pic:cNvPicPr>
                  </pic:nvPicPr>
                  <pic:blipFill>
                    <a:blip r:embed="rId13"/>
                    <a:stretch>
                      <a:fillRect/>
                    </a:stretch>
                  </pic:blipFill>
                  <pic:spPr>
                    <a:xfrm>
                      <a:off x="0" y="0"/>
                      <a:ext cx="5271135" cy="7457440"/>
                    </a:xfrm>
                    <a:prstGeom prst="rect">
                      <a:avLst/>
                    </a:prstGeom>
                  </pic:spPr>
                </pic:pic>
              </a:graphicData>
            </a:graphic>
          </wp:inline>
        </w:drawing>
      </w:r>
    </w:p>
    <w:sectPr>
      <w:footerReference r:id="rId7" w:type="default"/>
      <w:footerReference r:id="rId8"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onospace">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03"/>
        <w:tab w:val="clear" w:pos="4153"/>
      </w:tabs>
      <w:rPr>
        <w:lang w:val="en-US"/>
      </w:rPr>
    </w:pP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8"/>
                            <w:rPr>
                              <w:lang w:val="en-US"/>
                            </w:rPr>
                          </w:pPr>
                          <w:r>
                            <w:rPr>
                              <w:lang w:val="en-US"/>
                            </w:rPr>
                            <w:fldChar w:fldCharType="begin"/>
                          </w:r>
                          <w:r>
                            <w:rPr>
                              <w:lang w:val="en-US"/>
                            </w:rPr>
                            <w:instrText xml:space="preserve"> PAGE  \* MERGEFORMAT </w:instrText>
                          </w:r>
                          <w:r>
                            <w:rPr>
                              <w:lang w:val="en-US"/>
                            </w:rPr>
                            <w:fldChar w:fldCharType="separate"/>
                          </w:r>
                          <w:r>
                            <w:rPr>
                              <w:lang w:val="en-US"/>
                            </w:rPr>
                            <w:t>２</w:t>
                          </w:r>
                          <w:r>
                            <w:rPr>
                              <w:lang w:val="en-US"/>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4cAW9vwEAAIwDAAAOAAAAAAAAAAEAIAAAAB8BAABkcnMvZTJvRG9jLnhtbFBLBQYA&#10;AAAABgAGAFkBAABQBQAAAAA=&#10;">
              <v:fill on="f" focussize="0,0"/>
              <v:stroke on="f"/>
              <v:imagedata o:title=""/>
              <o:lock v:ext="edit" aspectratio="f"/>
              <v:textbox inset="0mm,0mm,0mm,0mm" style="mso-fit-shape-to-text:t;">
                <w:txbxContent>
                  <w:p>
                    <w:pPr>
                      <w:pStyle w:val="8"/>
                      <w:rPr>
                        <w:lang w:val="en-US"/>
                      </w:rPr>
                    </w:pPr>
                    <w:r>
                      <w:rPr>
                        <w:lang w:val="en-US"/>
                      </w:rPr>
                      <w:fldChar w:fldCharType="begin"/>
                    </w:r>
                    <w:r>
                      <w:rPr>
                        <w:lang w:val="en-US"/>
                      </w:rPr>
                      <w:instrText xml:space="preserve"> PAGE  \* MERGEFORMAT </w:instrText>
                    </w:r>
                    <w:r>
                      <w:rPr>
                        <w:lang w:val="en-US"/>
                      </w:rPr>
                      <w:fldChar w:fldCharType="separate"/>
                    </w:r>
                    <w:r>
                      <w:rPr>
                        <w:lang w:val="en-US"/>
                      </w:rPr>
                      <w:t>２</w:t>
                    </w:r>
                    <w:r>
                      <w:rPr>
                        <w:lang w:val="en-US"/>
                      </w:rPr>
                      <w:fldChar w:fldCharType="end"/>
                    </w:r>
                  </w:p>
                </w:txbxContent>
              </v:textbox>
            </v:rect>
          </w:pict>
        </mc:Fallback>
      </mc:AlternateConten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II</w:t>
    </w:r>
    <w:r>
      <w:rPr>
        <w:lang w:val="zh-CN"/>
      </w:rPr>
      <w:fldChar w:fldCharType="end"/>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8998E1"/>
    <w:multiLevelType w:val="singleLevel"/>
    <w:tmpl w:val="6E8998E1"/>
    <w:lvl w:ilvl="0" w:tentative="0">
      <w:start w:val="2"/>
      <w:numFmt w:val="decimal"/>
      <w:suff w:val="nothing"/>
      <w:lvlText w:val="%1、"/>
      <w:lvlJc w:val="left"/>
      <w:pPr>
        <w:ind w:left="72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iNTkyYzk4NDdiZGQ3ZWJjNjI5MDFjNTg3MWJhZWQifQ=="/>
    <w:docVar w:name="KSO_WPS_MARK_KEY" w:val="9af5c500-4f33-4500-850b-2b0adb568627"/>
  </w:docVars>
  <w:rsids>
    <w:rsidRoot w:val="00172A27"/>
    <w:rsid w:val="0000012F"/>
    <w:rsid w:val="00001109"/>
    <w:rsid w:val="000046DD"/>
    <w:rsid w:val="00005A82"/>
    <w:rsid w:val="000108B0"/>
    <w:rsid w:val="00013135"/>
    <w:rsid w:val="0001396D"/>
    <w:rsid w:val="00013AA9"/>
    <w:rsid w:val="00015380"/>
    <w:rsid w:val="000157EE"/>
    <w:rsid w:val="00017F9E"/>
    <w:rsid w:val="000236DD"/>
    <w:rsid w:val="00025CD6"/>
    <w:rsid w:val="000307F7"/>
    <w:rsid w:val="00030B9A"/>
    <w:rsid w:val="00031BD0"/>
    <w:rsid w:val="00031D80"/>
    <w:rsid w:val="00034401"/>
    <w:rsid w:val="0003479A"/>
    <w:rsid w:val="00036E71"/>
    <w:rsid w:val="0004294E"/>
    <w:rsid w:val="00042F6D"/>
    <w:rsid w:val="000442C5"/>
    <w:rsid w:val="000463EB"/>
    <w:rsid w:val="000517CD"/>
    <w:rsid w:val="0005252B"/>
    <w:rsid w:val="0005361B"/>
    <w:rsid w:val="000545A5"/>
    <w:rsid w:val="00054924"/>
    <w:rsid w:val="00055A51"/>
    <w:rsid w:val="000563DF"/>
    <w:rsid w:val="00057D11"/>
    <w:rsid w:val="00060866"/>
    <w:rsid w:val="00060F60"/>
    <w:rsid w:val="00062A7F"/>
    <w:rsid w:val="00065EFF"/>
    <w:rsid w:val="000666D9"/>
    <w:rsid w:val="00072399"/>
    <w:rsid w:val="0007275D"/>
    <w:rsid w:val="0007299E"/>
    <w:rsid w:val="00072D21"/>
    <w:rsid w:val="00074CF3"/>
    <w:rsid w:val="00075F61"/>
    <w:rsid w:val="00077638"/>
    <w:rsid w:val="00080203"/>
    <w:rsid w:val="0008110B"/>
    <w:rsid w:val="000815AB"/>
    <w:rsid w:val="000835F3"/>
    <w:rsid w:val="000837B6"/>
    <w:rsid w:val="00084E18"/>
    <w:rsid w:val="00084E6F"/>
    <w:rsid w:val="00092731"/>
    <w:rsid w:val="000A058E"/>
    <w:rsid w:val="000A05C6"/>
    <w:rsid w:val="000A2022"/>
    <w:rsid w:val="000A2FA4"/>
    <w:rsid w:val="000A3D99"/>
    <w:rsid w:val="000A4F93"/>
    <w:rsid w:val="000A52E4"/>
    <w:rsid w:val="000A65E7"/>
    <w:rsid w:val="000B2AE4"/>
    <w:rsid w:val="000B4220"/>
    <w:rsid w:val="000C0EE0"/>
    <w:rsid w:val="000C1BAC"/>
    <w:rsid w:val="000C259B"/>
    <w:rsid w:val="000C56C5"/>
    <w:rsid w:val="000C6861"/>
    <w:rsid w:val="000C73ED"/>
    <w:rsid w:val="000D09A5"/>
    <w:rsid w:val="000D1623"/>
    <w:rsid w:val="000D7D16"/>
    <w:rsid w:val="000E1344"/>
    <w:rsid w:val="000E2849"/>
    <w:rsid w:val="000E2CBD"/>
    <w:rsid w:val="000E2E88"/>
    <w:rsid w:val="000E5292"/>
    <w:rsid w:val="000E5EBA"/>
    <w:rsid w:val="000F0EAD"/>
    <w:rsid w:val="000F2035"/>
    <w:rsid w:val="000F3070"/>
    <w:rsid w:val="000F3617"/>
    <w:rsid w:val="000F38CE"/>
    <w:rsid w:val="000F4FAD"/>
    <w:rsid w:val="000F5C4E"/>
    <w:rsid w:val="00101A70"/>
    <w:rsid w:val="0010492D"/>
    <w:rsid w:val="00104AF3"/>
    <w:rsid w:val="00104C60"/>
    <w:rsid w:val="001062C1"/>
    <w:rsid w:val="00110363"/>
    <w:rsid w:val="0011113D"/>
    <w:rsid w:val="00112BCF"/>
    <w:rsid w:val="00113612"/>
    <w:rsid w:val="001160D4"/>
    <w:rsid w:val="00116892"/>
    <w:rsid w:val="00116952"/>
    <w:rsid w:val="00117B8C"/>
    <w:rsid w:val="00117BD0"/>
    <w:rsid w:val="0012192A"/>
    <w:rsid w:val="00121BEE"/>
    <w:rsid w:val="00126C3D"/>
    <w:rsid w:val="00130DA9"/>
    <w:rsid w:val="001312A9"/>
    <w:rsid w:val="001321C1"/>
    <w:rsid w:val="001323FA"/>
    <w:rsid w:val="00132A8D"/>
    <w:rsid w:val="00132E00"/>
    <w:rsid w:val="00135150"/>
    <w:rsid w:val="001363D3"/>
    <w:rsid w:val="001376C2"/>
    <w:rsid w:val="00137743"/>
    <w:rsid w:val="00141CC1"/>
    <w:rsid w:val="00142AE8"/>
    <w:rsid w:val="00143816"/>
    <w:rsid w:val="00145D5E"/>
    <w:rsid w:val="00147298"/>
    <w:rsid w:val="00147A72"/>
    <w:rsid w:val="00150FC7"/>
    <w:rsid w:val="00151297"/>
    <w:rsid w:val="00151915"/>
    <w:rsid w:val="00151B8A"/>
    <w:rsid w:val="00154A4A"/>
    <w:rsid w:val="0016015E"/>
    <w:rsid w:val="0016057E"/>
    <w:rsid w:val="00160E91"/>
    <w:rsid w:val="001621CC"/>
    <w:rsid w:val="001706BA"/>
    <w:rsid w:val="001708A7"/>
    <w:rsid w:val="00171499"/>
    <w:rsid w:val="001724B8"/>
    <w:rsid w:val="00172A27"/>
    <w:rsid w:val="001735B2"/>
    <w:rsid w:val="001736DD"/>
    <w:rsid w:val="001739F4"/>
    <w:rsid w:val="00173A75"/>
    <w:rsid w:val="00174988"/>
    <w:rsid w:val="00186E6F"/>
    <w:rsid w:val="00187B8B"/>
    <w:rsid w:val="00190B01"/>
    <w:rsid w:val="001910BA"/>
    <w:rsid w:val="00191835"/>
    <w:rsid w:val="00194151"/>
    <w:rsid w:val="00195C18"/>
    <w:rsid w:val="00197B40"/>
    <w:rsid w:val="001A004E"/>
    <w:rsid w:val="001A14BE"/>
    <w:rsid w:val="001A156B"/>
    <w:rsid w:val="001A4201"/>
    <w:rsid w:val="001A62B8"/>
    <w:rsid w:val="001A66C0"/>
    <w:rsid w:val="001B055D"/>
    <w:rsid w:val="001B3EA8"/>
    <w:rsid w:val="001B4440"/>
    <w:rsid w:val="001C1AC2"/>
    <w:rsid w:val="001C3901"/>
    <w:rsid w:val="001C4C36"/>
    <w:rsid w:val="001C572A"/>
    <w:rsid w:val="001C5C4A"/>
    <w:rsid w:val="001C7719"/>
    <w:rsid w:val="001C7F2D"/>
    <w:rsid w:val="001D2146"/>
    <w:rsid w:val="001D2D1A"/>
    <w:rsid w:val="001D6888"/>
    <w:rsid w:val="001D6A92"/>
    <w:rsid w:val="001D7747"/>
    <w:rsid w:val="001D7F8F"/>
    <w:rsid w:val="001E0A2E"/>
    <w:rsid w:val="001E2207"/>
    <w:rsid w:val="001E2388"/>
    <w:rsid w:val="001E2CFB"/>
    <w:rsid w:val="001E433C"/>
    <w:rsid w:val="001E5362"/>
    <w:rsid w:val="001E5808"/>
    <w:rsid w:val="001E609C"/>
    <w:rsid w:val="001E6AB0"/>
    <w:rsid w:val="001E75DF"/>
    <w:rsid w:val="001F1F78"/>
    <w:rsid w:val="001F21E6"/>
    <w:rsid w:val="001F5ABB"/>
    <w:rsid w:val="001F5EBF"/>
    <w:rsid w:val="001F6136"/>
    <w:rsid w:val="00200263"/>
    <w:rsid w:val="0020235C"/>
    <w:rsid w:val="002042F9"/>
    <w:rsid w:val="00204FBB"/>
    <w:rsid w:val="0020610C"/>
    <w:rsid w:val="00206F1D"/>
    <w:rsid w:val="002076DD"/>
    <w:rsid w:val="002117E0"/>
    <w:rsid w:val="00214B32"/>
    <w:rsid w:val="00214FB9"/>
    <w:rsid w:val="00216DA6"/>
    <w:rsid w:val="00220BB9"/>
    <w:rsid w:val="00222413"/>
    <w:rsid w:val="00224260"/>
    <w:rsid w:val="002251B0"/>
    <w:rsid w:val="00230396"/>
    <w:rsid w:val="00231003"/>
    <w:rsid w:val="00232818"/>
    <w:rsid w:val="00233477"/>
    <w:rsid w:val="00237A63"/>
    <w:rsid w:val="0024175F"/>
    <w:rsid w:val="00241A32"/>
    <w:rsid w:val="0025022C"/>
    <w:rsid w:val="0025243C"/>
    <w:rsid w:val="00254999"/>
    <w:rsid w:val="00254DEC"/>
    <w:rsid w:val="00255607"/>
    <w:rsid w:val="0026012E"/>
    <w:rsid w:val="00263936"/>
    <w:rsid w:val="00263AFF"/>
    <w:rsid w:val="0026699C"/>
    <w:rsid w:val="00267938"/>
    <w:rsid w:val="00275F6F"/>
    <w:rsid w:val="00276668"/>
    <w:rsid w:val="0028118D"/>
    <w:rsid w:val="002820B7"/>
    <w:rsid w:val="00282AD6"/>
    <w:rsid w:val="002872EE"/>
    <w:rsid w:val="00287A8C"/>
    <w:rsid w:val="00290F9F"/>
    <w:rsid w:val="00291B4E"/>
    <w:rsid w:val="00292E82"/>
    <w:rsid w:val="00293E1C"/>
    <w:rsid w:val="0029491D"/>
    <w:rsid w:val="00296DD5"/>
    <w:rsid w:val="002A21A9"/>
    <w:rsid w:val="002A3500"/>
    <w:rsid w:val="002A3668"/>
    <w:rsid w:val="002A79EB"/>
    <w:rsid w:val="002C0BD6"/>
    <w:rsid w:val="002C2CF7"/>
    <w:rsid w:val="002C34F5"/>
    <w:rsid w:val="002C3552"/>
    <w:rsid w:val="002C610D"/>
    <w:rsid w:val="002C66BE"/>
    <w:rsid w:val="002D122C"/>
    <w:rsid w:val="002D1BA7"/>
    <w:rsid w:val="002D3DE0"/>
    <w:rsid w:val="002D4C6D"/>
    <w:rsid w:val="002D58A7"/>
    <w:rsid w:val="002D61A5"/>
    <w:rsid w:val="002D713F"/>
    <w:rsid w:val="002D7199"/>
    <w:rsid w:val="002E0248"/>
    <w:rsid w:val="002E05A1"/>
    <w:rsid w:val="002E0A8C"/>
    <w:rsid w:val="002E0ED4"/>
    <w:rsid w:val="002E197F"/>
    <w:rsid w:val="002E5EAC"/>
    <w:rsid w:val="002E600F"/>
    <w:rsid w:val="002F1458"/>
    <w:rsid w:val="002F1FDD"/>
    <w:rsid w:val="002F3E3B"/>
    <w:rsid w:val="002F5620"/>
    <w:rsid w:val="002F6534"/>
    <w:rsid w:val="002F6E4A"/>
    <w:rsid w:val="003041BA"/>
    <w:rsid w:val="0030799D"/>
    <w:rsid w:val="00310ECF"/>
    <w:rsid w:val="0031333C"/>
    <w:rsid w:val="00313934"/>
    <w:rsid w:val="003153D7"/>
    <w:rsid w:val="00316B5C"/>
    <w:rsid w:val="00320A82"/>
    <w:rsid w:val="0032283F"/>
    <w:rsid w:val="00322F58"/>
    <w:rsid w:val="003267BB"/>
    <w:rsid w:val="00327554"/>
    <w:rsid w:val="00331706"/>
    <w:rsid w:val="0033252C"/>
    <w:rsid w:val="003329FF"/>
    <w:rsid w:val="00333964"/>
    <w:rsid w:val="00333DB9"/>
    <w:rsid w:val="00334542"/>
    <w:rsid w:val="0033555F"/>
    <w:rsid w:val="0033577F"/>
    <w:rsid w:val="003404DA"/>
    <w:rsid w:val="003411EB"/>
    <w:rsid w:val="00341D4B"/>
    <w:rsid w:val="00341E9F"/>
    <w:rsid w:val="0034296C"/>
    <w:rsid w:val="003446D4"/>
    <w:rsid w:val="0034494F"/>
    <w:rsid w:val="00346D92"/>
    <w:rsid w:val="003470F9"/>
    <w:rsid w:val="00347339"/>
    <w:rsid w:val="00352D26"/>
    <w:rsid w:val="003534B0"/>
    <w:rsid w:val="00354C95"/>
    <w:rsid w:val="00354F11"/>
    <w:rsid w:val="00355DB9"/>
    <w:rsid w:val="00356363"/>
    <w:rsid w:val="0035762B"/>
    <w:rsid w:val="0035784F"/>
    <w:rsid w:val="003607DF"/>
    <w:rsid w:val="00360F29"/>
    <w:rsid w:val="0036465A"/>
    <w:rsid w:val="00366C07"/>
    <w:rsid w:val="00366CF3"/>
    <w:rsid w:val="00367B33"/>
    <w:rsid w:val="00371533"/>
    <w:rsid w:val="00373154"/>
    <w:rsid w:val="0037342D"/>
    <w:rsid w:val="00374D19"/>
    <w:rsid w:val="003759FA"/>
    <w:rsid w:val="00376F2B"/>
    <w:rsid w:val="00380665"/>
    <w:rsid w:val="00382DBB"/>
    <w:rsid w:val="0038362C"/>
    <w:rsid w:val="00384063"/>
    <w:rsid w:val="00384FDF"/>
    <w:rsid w:val="003916E5"/>
    <w:rsid w:val="00394AFE"/>
    <w:rsid w:val="0039589D"/>
    <w:rsid w:val="00397FA5"/>
    <w:rsid w:val="003A4BB2"/>
    <w:rsid w:val="003A73AF"/>
    <w:rsid w:val="003A74F6"/>
    <w:rsid w:val="003A78A8"/>
    <w:rsid w:val="003B2F2E"/>
    <w:rsid w:val="003B340F"/>
    <w:rsid w:val="003B43C6"/>
    <w:rsid w:val="003B4F44"/>
    <w:rsid w:val="003B5271"/>
    <w:rsid w:val="003B54E9"/>
    <w:rsid w:val="003C0247"/>
    <w:rsid w:val="003C1B16"/>
    <w:rsid w:val="003C40E9"/>
    <w:rsid w:val="003C5331"/>
    <w:rsid w:val="003C7FE5"/>
    <w:rsid w:val="003D196D"/>
    <w:rsid w:val="003D252C"/>
    <w:rsid w:val="003D3779"/>
    <w:rsid w:val="003D55F5"/>
    <w:rsid w:val="003D76D9"/>
    <w:rsid w:val="003E3868"/>
    <w:rsid w:val="003E3A72"/>
    <w:rsid w:val="003E4C71"/>
    <w:rsid w:val="003E5B51"/>
    <w:rsid w:val="003E72EA"/>
    <w:rsid w:val="003F660C"/>
    <w:rsid w:val="00400224"/>
    <w:rsid w:val="00401D43"/>
    <w:rsid w:val="0040220B"/>
    <w:rsid w:val="004039D7"/>
    <w:rsid w:val="0040623A"/>
    <w:rsid w:val="004062C5"/>
    <w:rsid w:val="004066BC"/>
    <w:rsid w:val="00410DA8"/>
    <w:rsid w:val="00411192"/>
    <w:rsid w:val="00411DA6"/>
    <w:rsid w:val="00413766"/>
    <w:rsid w:val="00413BB3"/>
    <w:rsid w:val="00413F05"/>
    <w:rsid w:val="00416CA4"/>
    <w:rsid w:val="00417F54"/>
    <w:rsid w:val="004203EC"/>
    <w:rsid w:val="004224F0"/>
    <w:rsid w:val="004237CE"/>
    <w:rsid w:val="004318EE"/>
    <w:rsid w:val="00433E34"/>
    <w:rsid w:val="00435C1B"/>
    <w:rsid w:val="00436985"/>
    <w:rsid w:val="00437DEC"/>
    <w:rsid w:val="004408CE"/>
    <w:rsid w:val="0044296C"/>
    <w:rsid w:val="004468BE"/>
    <w:rsid w:val="00450C5C"/>
    <w:rsid w:val="00450D9E"/>
    <w:rsid w:val="004511F5"/>
    <w:rsid w:val="0045148B"/>
    <w:rsid w:val="00451A38"/>
    <w:rsid w:val="00452B6A"/>
    <w:rsid w:val="00452FBB"/>
    <w:rsid w:val="00454962"/>
    <w:rsid w:val="004561FA"/>
    <w:rsid w:val="004575EE"/>
    <w:rsid w:val="00457BCD"/>
    <w:rsid w:val="00457BED"/>
    <w:rsid w:val="00462E1F"/>
    <w:rsid w:val="00464476"/>
    <w:rsid w:val="00464604"/>
    <w:rsid w:val="004646B5"/>
    <w:rsid w:val="004678D6"/>
    <w:rsid w:val="00467BFA"/>
    <w:rsid w:val="00467FCB"/>
    <w:rsid w:val="004735AB"/>
    <w:rsid w:val="00474734"/>
    <w:rsid w:val="004758D1"/>
    <w:rsid w:val="004768B4"/>
    <w:rsid w:val="00477616"/>
    <w:rsid w:val="00477ADC"/>
    <w:rsid w:val="00481D6E"/>
    <w:rsid w:val="004833F7"/>
    <w:rsid w:val="004843EE"/>
    <w:rsid w:val="004847AD"/>
    <w:rsid w:val="00485C3E"/>
    <w:rsid w:val="00486BF4"/>
    <w:rsid w:val="00492838"/>
    <w:rsid w:val="0049312F"/>
    <w:rsid w:val="00493CFA"/>
    <w:rsid w:val="00494D7F"/>
    <w:rsid w:val="00495101"/>
    <w:rsid w:val="00497E35"/>
    <w:rsid w:val="004A0761"/>
    <w:rsid w:val="004A0834"/>
    <w:rsid w:val="004A218F"/>
    <w:rsid w:val="004A25D1"/>
    <w:rsid w:val="004A35F3"/>
    <w:rsid w:val="004A40E6"/>
    <w:rsid w:val="004A41F9"/>
    <w:rsid w:val="004A5CC2"/>
    <w:rsid w:val="004A68FA"/>
    <w:rsid w:val="004B51D5"/>
    <w:rsid w:val="004B5494"/>
    <w:rsid w:val="004B6D3B"/>
    <w:rsid w:val="004C25DC"/>
    <w:rsid w:val="004C2C66"/>
    <w:rsid w:val="004C3C7D"/>
    <w:rsid w:val="004C5612"/>
    <w:rsid w:val="004C672C"/>
    <w:rsid w:val="004C78A6"/>
    <w:rsid w:val="004C7C26"/>
    <w:rsid w:val="004D10E1"/>
    <w:rsid w:val="004D1436"/>
    <w:rsid w:val="004D16BA"/>
    <w:rsid w:val="004D21EB"/>
    <w:rsid w:val="004D25F0"/>
    <w:rsid w:val="004D3B42"/>
    <w:rsid w:val="004D6885"/>
    <w:rsid w:val="004E0034"/>
    <w:rsid w:val="004E1507"/>
    <w:rsid w:val="004E32D2"/>
    <w:rsid w:val="004F089D"/>
    <w:rsid w:val="004F13B7"/>
    <w:rsid w:val="004F1912"/>
    <w:rsid w:val="004F3041"/>
    <w:rsid w:val="004F3AA3"/>
    <w:rsid w:val="004F435B"/>
    <w:rsid w:val="004F6FCE"/>
    <w:rsid w:val="005001F7"/>
    <w:rsid w:val="005040C0"/>
    <w:rsid w:val="00504448"/>
    <w:rsid w:val="00504D3F"/>
    <w:rsid w:val="005117C4"/>
    <w:rsid w:val="00512414"/>
    <w:rsid w:val="00513596"/>
    <w:rsid w:val="00514586"/>
    <w:rsid w:val="00520F9E"/>
    <w:rsid w:val="0052331E"/>
    <w:rsid w:val="00523BFD"/>
    <w:rsid w:val="00523D3C"/>
    <w:rsid w:val="005247FC"/>
    <w:rsid w:val="00525376"/>
    <w:rsid w:val="0052718D"/>
    <w:rsid w:val="00532EF1"/>
    <w:rsid w:val="0053657B"/>
    <w:rsid w:val="00536D8B"/>
    <w:rsid w:val="00536F67"/>
    <w:rsid w:val="005428EC"/>
    <w:rsid w:val="005432CE"/>
    <w:rsid w:val="00544CCB"/>
    <w:rsid w:val="00545049"/>
    <w:rsid w:val="0054589B"/>
    <w:rsid w:val="00547E72"/>
    <w:rsid w:val="00550B7E"/>
    <w:rsid w:val="00555604"/>
    <w:rsid w:val="005573F0"/>
    <w:rsid w:val="005614DF"/>
    <w:rsid w:val="0056164F"/>
    <w:rsid w:val="00561E03"/>
    <w:rsid w:val="00563811"/>
    <w:rsid w:val="00564948"/>
    <w:rsid w:val="00565D91"/>
    <w:rsid w:val="00565E4F"/>
    <w:rsid w:val="0056638D"/>
    <w:rsid w:val="00571F86"/>
    <w:rsid w:val="0057236E"/>
    <w:rsid w:val="00572800"/>
    <w:rsid w:val="005728D2"/>
    <w:rsid w:val="00573C35"/>
    <w:rsid w:val="00573C3E"/>
    <w:rsid w:val="0057787A"/>
    <w:rsid w:val="00582B03"/>
    <w:rsid w:val="00583B72"/>
    <w:rsid w:val="005859A8"/>
    <w:rsid w:val="0058685E"/>
    <w:rsid w:val="00587BE3"/>
    <w:rsid w:val="005920A9"/>
    <w:rsid w:val="005928E5"/>
    <w:rsid w:val="0059291C"/>
    <w:rsid w:val="00593025"/>
    <w:rsid w:val="00593B18"/>
    <w:rsid w:val="00594CD0"/>
    <w:rsid w:val="00596476"/>
    <w:rsid w:val="00596871"/>
    <w:rsid w:val="00596D24"/>
    <w:rsid w:val="005A3E89"/>
    <w:rsid w:val="005A3EC2"/>
    <w:rsid w:val="005A4019"/>
    <w:rsid w:val="005A441C"/>
    <w:rsid w:val="005A5C3A"/>
    <w:rsid w:val="005A5EDC"/>
    <w:rsid w:val="005A6518"/>
    <w:rsid w:val="005A68C1"/>
    <w:rsid w:val="005A6BC5"/>
    <w:rsid w:val="005B1759"/>
    <w:rsid w:val="005B381B"/>
    <w:rsid w:val="005B4134"/>
    <w:rsid w:val="005B6D92"/>
    <w:rsid w:val="005C3475"/>
    <w:rsid w:val="005C39FD"/>
    <w:rsid w:val="005C3AC8"/>
    <w:rsid w:val="005C4904"/>
    <w:rsid w:val="005C5798"/>
    <w:rsid w:val="005D4964"/>
    <w:rsid w:val="005D4AF9"/>
    <w:rsid w:val="005D661B"/>
    <w:rsid w:val="005E1E7F"/>
    <w:rsid w:val="005E3CB5"/>
    <w:rsid w:val="005E52D9"/>
    <w:rsid w:val="005F0524"/>
    <w:rsid w:val="005F53F2"/>
    <w:rsid w:val="005F7ED0"/>
    <w:rsid w:val="00600214"/>
    <w:rsid w:val="006008B0"/>
    <w:rsid w:val="00601C56"/>
    <w:rsid w:val="00602B40"/>
    <w:rsid w:val="00603B15"/>
    <w:rsid w:val="00611D65"/>
    <w:rsid w:val="006124A3"/>
    <w:rsid w:val="00612EE0"/>
    <w:rsid w:val="006136E7"/>
    <w:rsid w:val="006139DD"/>
    <w:rsid w:val="00614BC2"/>
    <w:rsid w:val="00616E3F"/>
    <w:rsid w:val="00617018"/>
    <w:rsid w:val="00617F7B"/>
    <w:rsid w:val="0062045C"/>
    <w:rsid w:val="00620471"/>
    <w:rsid w:val="00621428"/>
    <w:rsid w:val="00623922"/>
    <w:rsid w:val="006268FC"/>
    <w:rsid w:val="00626D48"/>
    <w:rsid w:val="00630C4E"/>
    <w:rsid w:val="00632079"/>
    <w:rsid w:val="00632DFD"/>
    <w:rsid w:val="00633CF4"/>
    <w:rsid w:val="0063409F"/>
    <w:rsid w:val="006349D2"/>
    <w:rsid w:val="00634E92"/>
    <w:rsid w:val="00637E7E"/>
    <w:rsid w:val="006408D6"/>
    <w:rsid w:val="006426E8"/>
    <w:rsid w:val="00644EE1"/>
    <w:rsid w:val="00645B9F"/>
    <w:rsid w:val="00645BA8"/>
    <w:rsid w:val="00646A9A"/>
    <w:rsid w:val="00646B6B"/>
    <w:rsid w:val="006504A3"/>
    <w:rsid w:val="0065135F"/>
    <w:rsid w:val="00653123"/>
    <w:rsid w:val="00653EB6"/>
    <w:rsid w:val="00655344"/>
    <w:rsid w:val="00657658"/>
    <w:rsid w:val="006602C9"/>
    <w:rsid w:val="006636AD"/>
    <w:rsid w:val="00663AB5"/>
    <w:rsid w:val="00663D70"/>
    <w:rsid w:val="00664162"/>
    <w:rsid w:val="0066459E"/>
    <w:rsid w:val="0066485C"/>
    <w:rsid w:val="006665EA"/>
    <w:rsid w:val="0067097A"/>
    <w:rsid w:val="0067301F"/>
    <w:rsid w:val="006746AA"/>
    <w:rsid w:val="00675EFD"/>
    <w:rsid w:val="006767FB"/>
    <w:rsid w:val="00677221"/>
    <w:rsid w:val="00677CBC"/>
    <w:rsid w:val="00677F50"/>
    <w:rsid w:val="00682ACC"/>
    <w:rsid w:val="006913DF"/>
    <w:rsid w:val="00691611"/>
    <w:rsid w:val="00695F3A"/>
    <w:rsid w:val="006970BC"/>
    <w:rsid w:val="006A23B2"/>
    <w:rsid w:val="006A2CEE"/>
    <w:rsid w:val="006A62F4"/>
    <w:rsid w:val="006A760A"/>
    <w:rsid w:val="006A78EB"/>
    <w:rsid w:val="006B03AE"/>
    <w:rsid w:val="006B09E9"/>
    <w:rsid w:val="006B1777"/>
    <w:rsid w:val="006B1995"/>
    <w:rsid w:val="006B1EFA"/>
    <w:rsid w:val="006B30ED"/>
    <w:rsid w:val="006B55DB"/>
    <w:rsid w:val="006C1C26"/>
    <w:rsid w:val="006C354E"/>
    <w:rsid w:val="006D0365"/>
    <w:rsid w:val="006D21B0"/>
    <w:rsid w:val="006D351A"/>
    <w:rsid w:val="006D6DDF"/>
    <w:rsid w:val="006E0D92"/>
    <w:rsid w:val="006E0DED"/>
    <w:rsid w:val="006E3E16"/>
    <w:rsid w:val="006E7280"/>
    <w:rsid w:val="006F0749"/>
    <w:rsid w:val="006F1E27"/>
    <w:rsid w:val="006F3545"/>
    <w:rsid w:val="006F455B"/>
    <w:rsid w:val="006F45F7"/>
    <w:rsid w:val="006F4AC9"/>
    <w:rsid w:val="006F619D"/>
    <w:rsid w:val="00703047"/>
    <w:rsid w:val="0070548B"/>
    <w:rsid w:val="00707F1A"/>
    <w:rsid w:val="00710571"/>
    <w:rsid w:val="007125E7"/>
    <w:rsid w:val="007160C4"/>
    <w:rsid w:val="007172A7"/>
    <w:rsid w:val="00717C88"/>
    <w:rsid w:val="007201A0"/>
    <w:rsid w:val="007218C7"/>
    <w:rsid w:val="00724BAF"/>
    <w:rsid w:val="0072513B"/>
    <w:rsid w:val="007255F2"/>
    <w:rsid w:val="00726528"/>
    <w:rsid w:val="00726CF2"/>
    <w:rsid w:val="00731CBF"/>
    <w:rsid w:val="0073213C"/>
    <w:rsid w:val="007331D2"/>
    <w:rsid w:val="0073410A"/>
    <w:rsid w:val="0073699B"/>
    <w:rsid w:val="00737E76"/>
    <w:rsid w:val="00742A28"/>
    <w:rsid w:val="00747808"/>
    <w:rsid w:val="00750457"/>
    <w:rsid w:val="00751CEA"/>
    <w:rsid w:val="00752982"/>
    <w:rsid w:val="00755035"/>
    <w:rsid w:val="00755606"/>
    <w:rsid w:val="0075593A"/>
    <w:rsid w:val="00756DA9"/>
    <w:rsid w:val="0075793A"/>
    <w:rsid w:val="00757C9E"/>
    <w:rsid w:val="00765A11"/>
    <w:rsid w:val="00766B14"/>
    <w:rsid w:val="00771C80"/>
    <w:rsid w:val="00772612"/>
    <w:rsid w:val="00772FEC"/>
    <w:rsid w:val="00774907"/>
    <w:rsid w:val="007750FA"/>
    <w:rsid w:val="007801C9"/>
    <w:rsid w:val="00780898"/>
    <w:rsid w:val="00781463"/>
    <w:rsid w:val="00782CEF"/>
    <w:rsid w:val="007860EA"/>
    <w:rsid w:val="007862D7"/>
    <w:rsid w:val="0078778D"/>
    <w:rsid w:val="00791552"/>
    <w:rsid w:val="00792782"/>
    <w:rsid w:val="00794A6D"/>
    <w:rsid w:val="00794C29"/>
    <w:rsid w:val="007959D9"/>
    <w:rsid w:val="007A04EA"/>
    <w:rsid w:val="007A1723"/>
    <w:rsid w:val="007A2599"/>
    <w:rsid w:val="007A3496"/>
    <w:rsid w:val="007B2241"/>
    <w:rsid w:val="007B2DBC"/>
    <w:rsid w:val="007B38F6"/>
    <w:rsid w:val="007B4287"/>
    <w:rsid w:val="007B4AD0"/>
    <w:rsid w:val="007B57E8"/>
    <w:rsid w:val="007B5CCB"/>
    <w:rsid w:val="007B6614"/>
    <w:rsid w:val="007B6D23"/>
    <w:rsid w:val="007B7E8E"/>
    <w:rsid w:val="007B7EF1"/>
    <w:rsid w:val="007C08E2"/>
    <w:rsid w:val="007C1CD9"/>
    <w:rsid w:val="007C3166"/>
    <w:rsid w:val="007C43F7"/>
    <w:rsid w:val="007C5048"/>
    <w:rsid w:val="007C5A48"/>
    <w:rsid w:val="007D2626"/>
    <w:rsid w:val="007D5EEB"/>
    <w:rsid w:val="007D64EE"/>
    <w:rsid w:val="007D6619"/>
    <w:rsid w:val="007E0D49"/>
    <w:rsid w:val="007E121B"/>
    <w:rsid w:val="007E1933"/>
    <w:rsid w:val="007E2C74"/>
    <w:rsid w:val="007E2F67"/>
    <w:rsid w:val="007E372A"/>
    <w:rsid w:val="007E529C"/>
    <w:rsid w:val="007E5A09"/>
    <w:rsid w:val="007E648A"/>
    <w:rsid w:val="007E65A8"/>
    <w:rsid w:val="007F04E9"/>
    <w:rsid w:val="007F4337"/>
    <w:rsid w:val="007F4C6C"/>
    <w:rsid w:val="007F5F11"/>
    <w:rsid w:val="008021C1"/>
    <w:rsid w:val="00805EB9"/>
    <w:rsid w:val="0081049E"/>
    <w:rsid w:val="00810C0D"/>
    <w:rsid w:val="008124C7"/>
    <w:rsid w:val="00814669"/>
    <w:rsid w:val="00814E3E"/>
    <w:rsid w:val="00814EB2"/>
    <w:rsid w:val="008163CF"/>
    <w:rsid w:val="008241EC"/>
    <w:rsid w:val="00830467"/>
    <w:rsid w:val="0083228F"/>
    <w:rsid w:val="0083244A"/>
    <w:rsid w:val="00833BAE"/>
    <w:rsid w:val="008348AE"/>
    <w:rsid w:val="00835D89"/>
    <w:rsid w:val="008367D4"/>
    <w:rsid w:val="008379C7"/>
    <w:rsid w:val="00837AB5"/>
    <w:rsid w:val="00840298"/>
    <w:rsid w:val="00840AF3"/>
    <w:rsid w:val="0084157C"/>
    <w:rsid w:val="00842F07"/>
    <w:rsid w:val="00843D1B"/>
    <w:rsid w:val="0084405E"/>
    <w:rsid w:val="00846387"/>
    <w:rsid w:val="00846B4F"/>
    <w:rsid w:val="00847772"/>
    <w:rsid w:val="008507B2"/>
    <w:rsid w:val="00853413"/>
    <w:rsid w:val="00854FF3"/>
    <w:rsid w:val="00860E1F"/>
    <w:rsid w:val="00861A2B"/>
    <w:rsid w:val="00862C4A"/>
    <w:rsid w:val="00863D1F"/>
    <w:rsid w:val="00864B97"/>
    <w:rsid w:val="008667DB"/>
    <w:rsid w:val="00866E63"/>
    <w:rsid w:val="00867416"/>
    <w:rsid w:val="0087200D"/>
    <w:rsid w:val="00873386"/>
    <w:rsid w:val="00881943"/>
    <w:rsid w:val="008819D8"/>
    <w:rsid w:val="00883E92"/>
    <w:rsid w:val="0088630E"/>
    <w:rsid w:val="0089079B"/>
    <w:rsid w:val="0089158F"/>
    <w:rsid w:val="00891FDC"/>
    <w:rsid w:val="008939A4"/>
    <w:rsid w:val="00896749"/>
    <w:rsid w:val="008967CF"/>
    <w:rsid w:val="0089700A"/>
    <w:rsid w:val="008A01F0"/>
    <w:rsid w:val="008A197C"/>
    <w:rsid w:val="008A1A42"/>
    <w:rsid w:val="008A3FDA"/>
    <w:rsid w:val="008A6B65"/>
    <w:rsid w:val="008A7E31"/>
    <w:rsid w:val="008A7F15"/>
    <w:rsid w:val="008B1A39"/>
    <w:rsid w:val="008B4B73"/>
    <w:rsid w:val="008C1557"/>
    <w:rsid w:val="008C3911"/>
    <w:rsid w:val="008C4A4F"/>
    <w:rsid w:val="008C5D03"/>
    <w:rsid w:val="008C61E7"/>
    <w:rsid w:val="008C65EF"/>
    <w:rsid w:val="008D0915"/>
    <w:rsid w:val="008D2E35"/>
    <w:rsid w:val="008D73BE"/>
    <w:rsid w:val="008D785D"/>
    <w:rsid w:val="008D7C1B"/>
    <w:rsid w:val="008E17FA"/>
    <w:rsid w:val="008E3096"/>
    <w:rsid w:val="008E511A"/>
    <w:rsid w:val="008E6F65"/>
    <w:rsid w:val="008F2368"/>
    <w:rsid w:val="008F5536"/>
    <w:rsid w:val="008F6805"/>
    <w:rsid w:val="008F734F"/>
    <w:rsid w:val="009012DD"/>
    <w:rsid w:val="0090353F"/>
    <w:rsid w:val="0090424F"/>
    <w:rsid w:val="00904E90"/>
    <w:rsid w:val="009055BD"/>
    <w:rsid w:val="00905DCF"/>
    <w:rsid w:val="009108A6"/>
    <w:rsid w:val="00911B91"/>
    <w:rsid w:val="009130F0"/>
    <w:rsid w:val="00922CA9"/>
    <w:rsid w:val="00925332"/>
    <w:rsid w:val="00925717"/>
    <w:rsid w:val="009269ED"/>
    <w:rsid w:val="00926BBE"/>
    <w:rsid w:val="0092718D"/>
    <w:rsid w:val="00927542"/>
    <w:rsid w:val="0092775E"/>
    <w:rsid w:val="00937BEF"/>
    <w:rsid w:val="00940FDD"/>
    <w:rsid w:val="00942AE8"/>
    <w:rsid w:val="00943B63"/>
    <w:rsid w:val="0094429A"/>
    <w:rsid w:val="009443BC"/>
    <w:rsid w:val="00945F2C"/>
    <w:rsid w:val="00951067"/>
    <w:rsid w:val="00951221"/>
    <w:rsid w:val="00952AB4"/>
    <w:rsid w:val="009556BF"/>
    <w:rsid w:val="00957E98"/>
    <w:rsid w:val="009633D0"/>
    <w:rsid w:val="009633EC"/>
    <w:rsid w:val="00970F3F"/>
    <w:rsid w:val="00981C3B"/>
    <w:rsid w:val="009824BE"/>
    <w:rsid w:val="00987927"/>
    <w:rsid w:val="00990148"/>
    <w:rsid w:val="00992CEC"/>
    <w:rsid w:val="00993903"/>
    <w:rsid w:val="00993B88"/>
    <w:rsid w:val="0099539F"/>
    <w:rsid w:val="00997E10"/>
    <w:rsid w:val="009A012E"/>
    <w:rsid w:val="009A132E"/>
    <w:rsid w:val="009A18D3"/>
    <w:rsid w:val="009A195E"/>
    <w:rsid w:val="009A31B3"/>
    <w:rsid w:val="009A41D4"/>
    <w:rsid w:val="009A5DDA"/>
    <w:rsid w:val="009B0D8D"/>
    <w:rsid w:val="009B17BD"/>
    <w:rsid w:val="009B1801"/>
    <w:rsid w:val="009B18D9"/>
    <w:rsid w:val="009B1D6F"/>
    <w:rsid w:val="009B24A5"/>
    <w:rsid w:val="009B4177"/>
    <w:rsid w:val="009B42C5"/>
    <w:rsid w:val="009B67D0"/>
    <w:rsid w:val="009B7479"/>
    <w:rsid w:val="009C181C"/>
    <w:rsid w:val="009C1D5E"/>
    <w:rsid w:val="009C1E32"/>
    <w:rsid w:val="009C4EBF"/>
    <w:rsid w:val="009D0F05"/>
    <w:rsid w:val="009D2767"/>
    <w:rsid w:val="009D6A8E"/>
    <w:rsid w:val="009E3706"/>
    <w:rsid w:val="009E652D"/>
    <w:rsid w:val="009E7134"/>
    <w:rsid w:val="009E7C30"/>
    <w:rsid w:val="009F3E10"/>
    <w:rsid w:val="009F5369"/>
    <w:rsid w:val="009F69FE"/>
    <w:rsid w:val="00A0028B"/>
    <w:rsid w:val="00A00BD3"/>
    <w:rsid w:val="00A072CA"/>
    <w:rsid w:val="00A0744D"/>
    <w:rsid w:val="00A074F3"/>
    <w:rsid w:val="00A07F35"/>
    <w:rsid w:val="00A102B3"/>
    <w:rsid w:val="00A10F2B"/>
    <w:rsid w:val="00A12E8B"/>
    <w:rsid w:val="00A147C4"/>
    <w:rsid w:val="00A14E2A"/>
    <w:rsid w:val="00A1763E"/>
    <w:rsid w:val="00A17944"/>
    <w:rsid w:val="00A21337"/>
    <w:rsid w:val="00A22037"/>
    <w:rsid w:val="00A231C9"/>
    <w:rsid w:val="00A23C84"/>
    <w:rsid w:val="00A257BD"/>
    <w:rsid w:val="00A27A2D"/>
    <w:rsid w:val="00A32AF6"/>
    <w:rsid w:val="00A3336E"/>
    <w:rsid w:val="00A43157"/>
    <w:rsid w:val="00A43EC8"/>
    <w:rsid w:val="00A52817"/>
    <w:rsid w:val="00A52915"/>
    <w:rsid w:val="00A56755"/>
    <w:rsid w:val="00A567F9"/>
    <w:rsid w:val="00A57863"/>
    <w:rsid w:val="00A608AB"/>
    <w:rsid w:val="00A60E99"/>
    <w:rsid w:val="00A60F0A"/>
    <w:rsid w:val="00A614F2"/>
    <w:rsid w:val="00A63207"/>
    <w:rsid w:val="00A64BDF"/>
    <w:rsid w:val="00A64FF5"/>
    <w:rsid w:val="00A7065F"/>
    <w:rsid w:val="00A7157C"/>
    <w:rsid w:val="00A7197C"/>
    <w:rsid w:val="00A71C0C"/>
    <w:rsid w:val="00A725FC"/>
    <w:rsid w:val="00A72FCE"/>
    <w:rsid w:val="00A73785"/>
    <w:rsid w:val="00A745B2"/>
    <w:rsid w:val="00A773C7"/>
    <w:rsid w:val="00A775D5"/>
    <w:rsid w:val="00A80B6E"/>
    <w:rsid w:val="00A81161"/>
    <w:rsid w:val="00A8234A"/>
    <w:rsid w:val="00A86B4F"/>
    <w:rsid w:val="00A90BD5"/>
    <w:rsid w:val="00A91CAA"/>
    <w:rsid w:val="00A9482A"/>
    <w:rsid w:val="00A96954"/>
    <w:rsid w:val="00A96EE9"/>
    <w:rsid w:val="00A97647"/>
    <w:rsid w:val="00AA096A"/>
    <w:rsid w:val="00AA16B3"/>
    <w:rsid w:val="00AA1C39"/>
    <w:rsid w:val="00AA26A7"/>
    <w:rsid w:val="00AA2E5B"/>
    <w:rsid w:val="00AA38F7"/>
    <w:rsid w:val="00AA51C3"/>
    <w:rsid w:val="00AA56F1"/>
    <w:rsid w:val="00AA7A9A"/>
    <w:rsid w:val="00AB24F9"/>
    <w:rsid w:val="00AB2AFE"/>
    <w:rsid w:val="00AB3CDA"/>
    <w:rsid w:val="00AB7F1F"/>
    <w:rsid w:val="00AC042D"/>
    <w:rsid w:val="00AC0699"/>
    <w:rsid w:val="00AC0B67"/>
    <w:rsid w:val="00AC0F10"/>
    <w:rsid w:val="00AC122F"/>
    <w:rsid w:val="00AC16E0"/>
    <w:rsid w:val="00AC2681"/>
    <w:rsid w:val="00AC3A4E"/>
    <w:rsid w:val="00AC3B07"/>
    <w:rsid w:val="00AC4AB7"/>
    <w:rsid w:val="00AC4FAB"/>
    <w:rsid w:val="00AC5BBC"/>
    <w:rsid w:val="00AC6581"/>
    <w:rsid w:val="00AC684B"/>
    <w:rsid w:val="00AD235F"/>
    <w:rsid w:val="00AD4729"/>
    <w:rsid w:val="00AD5C17"/>
    <w:rsid w:val="00AD5E0E"/>
    <w:rsid w:val="00AD7704"/>
    <w:rsid w:val="00AE1B1B"/>
    <w:rsid w:val="00AE375A"/>
    <w:rsid w:val="00AE4665"/>
    <w:rsid w:val="00AE571F"/>
    <w:rsid w:val="00AE722A"/>
    <w:rsid w:val="00AF107A"/>
    <w:rsid w:val="00AF2417"/>
    <w:rsid w:val="00AF4674"/>
    <w:rsid w:val="00AF5698"/>
    <w:rsid w:val="00AF6F34"/>
    <w:rsid w:val="00B0495B"/>
    <w:rsid w:val="00B04967"/>
    <w:rsid w:val="00B050EF"/>
    <w:rsid w:val="00B069E9"/>
    <w:rsid w:val="00B10D6A"/>
    <w:rsid w:val="00B129FB"/>
    <w:rsid w:val="00B12F93"/>
    <w:rsid w:val="00B132FE"/>
    <w:rsid w:val="00B148C3"/>
    <w:rsid w:val="00B1512D"/>
    <w:rsid w:val="00B22E8E"/>
    <w:rsid w:val="00B23E4E"/>
    <w:rsid w:val="00B2691A"/>
    <w:rsid w:val="00B3054A"/>
    <w:rsid w:val="00B30AFF"/>
    <w:rsid w:val="00B32DCB"/>
    <w:rsid w:val="00B34C71"/>
    <w:rsid w:val="00B363B1"/>
    <w:rsid w:val="00B36DDC"/>
    <w:rsid w:val="00B4085E"/>
    <w:rsid w:val="00B41EA6"/>
    <w:rsid w:val="00B423EB"/>
    <w:rsid w:val="00B45C0C"/>
    <w:rsid w:val="00B50239"/>
    <w:rsid w:val="00B54DFD"/>
    <w:rsid w:val="00B55362"/>
    <w:rsid w:val="00B5638D"/>
    <w:rsid w:val="00B568CC"/>
    <w:rsid w:val="00B57280"/>
    <w:rsid w:val="00B61FF6"/>
    <w:rsid w:val="00B63582"/>
    <w:rsid w:val="00B725FF"/>
    <w:rsid w:val="00B729A5"/>
    <w:rsid w:val="00B73016"/>
    <w:rsid w:val="00B739B4"/>
    <w:rsid w:val="00B74282"/>
    <w:rsid w:val="00B77CA7"/>
    <w:rsid w:val="00B82263"/>
    <w:rsid w:val="00B837DF"/>
    <w:rsid w:val="00B85937"/>
    <w:rsid w:val="00B85A42"/>
    <w:rsid w:val="00B90796"/>
    <w:rsid w:val="00B91FFF"/>
    <w:rsid w:val="00B92F16"/>
    <w:rsid w:val="00B95208"/>
    <w:rsid w:val="00B9551E"/>
    <w:rsid w:val="00B970E0"/>
    <w:rsid w:val="00B9763A"/>
    <w:rsid w:val="00BA1476"/>
    <w:rsid w:val="00BA2FBD"/>
    <w:rsid w:val="00BA5AB6"/>
    <w:rsid w:val="00BA5D61"/>
    <w:rsid w:val="00BA6E72"/>
    <w:rsid w:val="00BB08FF"/>
    <w:rsid w:val="00BB3A59"/>
    <w:rsid w:val="00BB5509"/>
    <w:rsid w:val="00BB5AE0"/>
    <w:rsid w:val="00BB7829"/>
    <w:rsid w:val="00BC1920"/>
    <w:rsid w:val="00BC261E"/>
    <w:rsid w:val="00BC2A78"/>
    <w:rsid w:val="00BC31B2"/>
    <w:rsid w:val="00BC3D4A"/>
    <w:rsid w:val="00BC6CF3"/>
    <w:rsid w:val="00BC6D24"/>
    <w:rsid w:val="00BD1A47"/>
    <w:rsid w:val="00BD333F"/>
    <w:rsid w:val="00BD3D76"/>
    <w:rsid w:val="00BD40A7"/>
    <w:rsid w:val="00BD4F48"/>
    <w:rsid w:val="00BD6B93"/>
    <w:rsid w:val="00BE0045"/>
    <w:rsid w:val="00BE15AE"/>
    <w:rsid w:val="00BE1784"/>
    <w:rsid w:val="00BE3F57"/>
    <w:rsid w:val="00BE5AEC"/>
    <w:rsid w:val="00BE795E"/>
    <w:rsid w:val="00BF16D7"/>
    <w:rsid w:val="00BF4B30"/>
    <w:rsid w:val="00BF638F"/>
    <w:rsid w:val="00C015B3"/>
    <w:rsid w:val="00C0286A"/>
    <w:rsid w:val="00C065D0"/>
    <w:rsid w:val="00C06D12"/>
    <w:rsid w:val="00C15383"/>
    <w:rsid w:val="00C16EB8"/>
    <w:rsid w:val="00C205BA"/>
    <w:rsid w:val="00C20756"/>
    <w:rsid w:val="00C20998"/>
    <w:rsid w:val="00C21C85"/>
    <w:rsid w:val="00C24963"/>
    <w:rsid w:val="00C264D5"/>
    <w:rsid w:val="00C26B1F"/>
    <w:rsid w:val="00C26D5A"/>
    <w:rsid w:val="00C31055"/>
    <w:rsid w:val="00C33107"/>
    <w:rsid w:val="00C33991"/>
    <w:rsid w:val="00C34C87"/>
    <w:rsid w:val="00C36F80"/>
    <w:rsid w:val="00C370EA"/>
    <w:rsid w:val="00C37A1C"/>
    <w:rsid w:val="00C42A20"/>
    <w:rsid w:val="00C452E0"/>
    <w:rsid w:val="00C4753D"/>
    <w:rsid w:val="00C543B5"/>
    <w:rsid w:val="00C63257"/>
    <w:rsid w:val="00C64065"/>
    <w:rsid w:val="00C6590F"/>
    <w:rsid w:val="00C664FE"/>
    <w:rsid w:val="00C667AB"/>
    <w:rsid w:val="00C66EC2"/>
    <w:rsid w:val="00C67790"/>
    <w:rsid w:val="00C702DF"/>
    <w:rsid w:val="00C70425"/>
    <w:rsid w:val="00C708AB"/>
    <w:rsid w:val="00C71766"/>
    <w:rsid w:val="00C86EA9"/>
    <w:rsid w:val="00C9061E"/>
    <w:rsid w:val="00C9148B"/>
    <w:rsid w:val="00C922A2"/>
    <w:rsid w:val="00C9319D"/>
    <w:rsid w:val="00C9333D"/>
    <w:rsid w:val="00C94301"/>
    <w:rsid w:val="00C946E0"/>
    <w:rsid w:val="00C94887"/>
    <w:rsid w:val="00C97956"/>
    <w:rsid w:val="00CA2271"/>
    <w:rsid w:val="00CA3144"/>
    <w:rsid w:val="00CA3648"/>
    <w:rsid w:val="00CA6601"/>
    <w:rsid w:val="00CB04D3"/>
    <w:rsid w:val="00CB177E"/>
    <w:rsid w:val="00CB3851"/>
    <w:rsid w:val="00CB4002"/>
    <w:rsid w:val="00CB5994"/>
    <w:rsid w:val="00CB78CD"/>
    <w:rsid w:val="00CC45E4"/>
    <w:rsid w:val="00CC58E3"/>
    <w:rsid w:val="00CD12B6"/>
    <w:rsid w:val="00CD22F6"/>
    <w:rsid w:val="00CD23BC"/>
    <w:rsid w:val="00CD3CE1"/>
    <w:rsid w:val="00CD555F"/>
    <w:rsid w:val="00CD59B7"/>
    <w:rsid w:val="00CD78B6"/>
    <w:rsid w:val="00CE0346"/>
    <w:rsid w:val="00CE07B1"/>
    <w:rsid w:val="00CE79F3"/>
    <w:rsid w:val="00CE7F1F"/>
    <w:rsid w:val="00CF092B"/>
    <w:rsid w:val="00CF0A36"/>
    <w:rsid w:val="00CF0D12"/>
    <w:rsid w:val="00CF41C6"/>
    <w:rsid w:val="00CF45F2"/>
    <w:rsid w:val="00CF4805"/>
    <w:rsid w:val="00CF6600"/>
    <w:rsid w:val="00CF7951"/>
    <w:rsid w:val="00D012DC"/>
    <w:rsid w:val="00D01F4E"/>
    <w:rsid w:val="00D01F9A"/>
    <w:rsid w:val="00D0254C"/>
    <w:rsid w:val="00D031AE"/>
    <w:rsid w:val="00D0335C"/>
    <w:rsid w:val="00D048EF"/>
    <w:rsid w:val="00D056DB"/>
    <w:rsid w:val="00D058FF"/>
    <w:rsid w:val="00D07EAD"/>
    <w:rsid w:val="00D10EFF"/>
    <w:rsid w:val="00D15041"/>
    <w:rsid w:val="00D15934"/>
    <w:rsid w:val="00D20E6F"/>
    <w:rsid w:val="00D2390F"/>
    <w:rsid w:val="00D32310"/>
    <w:rsid w:val="00D32752"/>
    <w:rsid w:val="00D36AFB"/>
    <w:rsid w:val="00D4034F"/>
    <w:rsid w:val="00D4134D"/>
    <w:rsid w:val="00D42C80"/>
    <w:rsid w:val="00D436F1"/>
    <w:rsid w:val="00D43F8B"/>
    <w:rsid w:val="00D44E63"/>
    <w:rsid w:val="00D4612C"/>
    <w:rsid w:val="00D46249"/>
    <w:rsid w:val="00D53C8E"/>
    <w:rsid w:val="00D57C29"/>
    <w:rsid w:val="00D61717"/>
    <w:rsid w:val="00D62020"/>
    <w:rsid w:val="00D66189"/>
    <w:rsid w:val="00D67486"/>
    <w:rsid w:val="00D73543"/>
    <w:rsid w:val="00D7629D"/>
    <w:rsid w:val="00D775E4"/>
    <w:rsid w:val="00D77EA3"/>
    <w:rsid w:val="00D805FD"/>
    <w:rsid w:val="00D843C3"/>
    <w:rsid w:val="00D84972"/>
    <w:rsid w:val="00D909AA"/>
    <w:rsid w:val="00D929D9"/>
    <w:rsid w:val="00D9314A"/>
    <w:rsid w:val="00D94248"/>
    <w:rsid w:val="00D94455"/>
    <w:rsid w:val="00D95691"/>
    <w:rsid w:val="00DA03EB"/>
    <w:rsid w:val="00DA3014"/>
    <w:rsid w:val="00DA3704"/>
    <w:rsid w:val="00DB0866"/>
    <w:rsid w:val="00DB3DE4"/>
    <w:rsid w:val="00DB4660"/>
    <w:rsid w:val="00DB7912"/>
    <w:rsid w:val="00DC25A9"/>
    <w:rsid w:val="00DC4259"/>
    <w:rsid w:val="00DC60FD"/>
    <w:rsid w:val="00DC77B7"/>
    <w:rsid w:val="00DD1751"/>
    <w:rsid w:val="00DD206E"/>
    <w:rsid w:val="00DD3A56"/>
    <w:rsid w:val="00DD5C22"/>
    <w:rsid w:val="00DD70B0"/>
    <w:rsid w:val="00DD7AE3"/>
    <w:rsid w:val="00DE083D"/>
    <w:rsid w:val="00DE1840"/>
    <w:rsid w:val="00DE1A24"/>
    <w:rsid w:val="00DE2200"/>
    <w:rsid w:val="00DE2A19"/>
    <w:rsid w:val="00DF068E"/>
    <w:rsid w:val="00DF0901"/>
    <w:rsid w:val="00DF5FDA"/>
    <w:rsid w:val="00DF7197"/>
    <w:rsid w:val="00E055F5"/>
    <w:rsid w:val="00E05807"/>
    <w:rsid w:val="00E05CF5"/>
    <w:rsid w:val="00E06B39"/>
    <w:rsid w:val="00E06FB6"/>
    <w:rsid w:val="00E12000"/>
    <w:rsid w:val="00E122F3"/>
    <w:rsid w:val="00E1331D"/>
    <w:rsid w:val="00E13AD8"/>
    <w:rsid w:val="00E1562E"/>
    <w:rsid w:val="00E16EB8"/>
    <w:rsid w:val="00E17532"/>
    <w:rsid w:val="00E2109C"/>
    <w:rsid w:val="00E22583"/>
    <w:rsid w:val="00E25F5C"/>
    <w:rsid w:val="00E275B1"/>
    <w:rsid w:val="00E32111"/>
    <w:rsid w:val="00E332C3"/>
    <w:rsid w:val="00E368B0"/>
    <w:rsid w:val="00E41874"/>
    <w:rsid w:val="00E4205E"/>
    <w:rsid w:val="00E426FE"/>
    <w:rsid w:val="00E45880"/>
    <w:rsid w:val="00E501F4"/>
    <w:rsid w:val="00E52759"/>
    <w:rsid w:val="00E61B09"/>
    <w:rsid w:val="00E62FDF"/>
    <w:rsid w:val="00E72FA5"/>
    <w:rsid w:val="00E80C38"/>
    <w:rsid w:val="00E8160A"/>
    <w:rsid w:val="00E81A69"/>
    <w:rsid w:val="00E831D0"/>
    <w:rsid w:val="00E8434C"/>
    <w:rsid w:val="00E84FD8"/>
    <w:rsid w:val="00E8633A"/>
    <w:rsid w:val="00E864B2"/>
    <w:rsid w:val="00E86E64"/>
    <w:rsid w:val="00E90AC6"/>
    <w:rsid w:val="00E91F9E"/>
    <w:rsid w:val="00E93409"/>
    <w:rsid w:val="00E9392A"/>
    <w:rsid w:val="00E97299"/>
    <w:rsid w:val="00E97497"/>
    <w:rsid w:val="00EA05BF"/>
    <w:rsid w:val="00EA2EA0"/>
    <w:rsid w:val="00EA38D6"/>
    <w:rsid w:val="00EA52BE"/>
    <w:rsid w:val="00EA7593"/>
    <w:rsid w:val="00EB22D7"/>
    <w:rsid w:val="00EB3D7A"/>
    <w:rsid w:val="00EB45C9"/>
    <w:rsid w:val="00EB7678"/>
    <w:rsid w:val="00EC1306"/>
    <w:rsid w:val="00EC2D55"/>
    <w:rsid w:val="00EC3386"/>
    <w:rsid w:val="00EC6066"/>
    <w:rsid w:val="00ED1389"/>
    <w:rsid w:val="00ED1E71"/>
    <w:rsid w:val="00ED20A8"/>
    <w:rsid w:val="00ED4D17"/>
    <w:rsid w:val="00ED5CBA"/>
    <w:rsid w:val="00ED6732"/>
    <w:rsid w:val="00ED7D03"/>
    <w:rsid w:val="00EE18F3"/>
    <w:rsid w:val="00EE285E"/>
    <w:rsid w:val="00EE362B"/>
    <w:rsid w:val="00EE40F9"/>
    <w:rsid w:val="00EE59A7"/>
    <w:rsid w:val="00EE5E85"/>
    <w:rsid w:val="00EE6695"/>
    <w:rsid w:val="00EE6F6F"/>
    <w:rsid w:val="00EE7DDC"/>
    <w:rsid w:val="00EF05AA"/>
    <w:rsid w:val="00EF41EB"/>
    <w:rsid w:val="00EF47EB"/>
    <w:rsid w:val="00EF56F8"/>
    <w:rsid w:val="00EF5BCD"/>
    <w:rsid w:val="00EF60B5"/>
    <w:rsid w:val="00EF7908"/>
    <w:rsid w:val="00F02AD1"/>
    <w:rsid w:val="00F05C34"/>
    <w:rsid w:val="00F06935"/>
    <w:rsid w:val="00F0742A"/>
    <w:rsid w:val="00F105C7"/>
    <w:rsid w:val="00F11C15"/>
    <w:rsid w:val="00F12A77"/>
    <w:rsid w:val="00F13534"/>
    <w:rsid w:val="00F16565"/>
    <w:rsid w:val="00F17166"/>
    <w:rsid w:val="00F17B9C"/>
    <w:rsid w:val="00F21AA9"/>
    <w:rsid w:val="00F232AC"/>
    <w:rsid w:val="00F23A21"/>
    <w:rsid w:val="00F23ECE"/>
    <w:rsid w:val="00F23F11"/>
    <w:rsid w:val="00F3002E"/>
    <w:rsid w:val="00F327BC"/>
    <w:rsid w:val="00F34AD0"/>
    <w:rsid w:val="00F35844"/>
    <w:rsid w:val="00F36100"/>
    <w:rsid w:val="00F37582"/>
    <w:rsid w:val="00F4115E"/>
    <w:rsid w:val="00F4208F"/>
    <w:rsid w:val="00F47887"/>
    <w:rsid w:val="00F50783"/>
    <w:rsid w:val="00F516BA"/>
    <w:rsid w:val="00F52672"/>
    <w:rsid w:val="00F56965"/>
    <w:rsid w:val="00F6060A"/>
    <w:rsid w:val="00F649D8"/>
    <w:rsid w:val="00F656EC"/>
    <w:rsid w:val="00F66274"/>
    <w:rsid w:val="00F7011A"/>
    <w:rsid w:val="00F70E9F"/>
    <w:rsid w:val="00F734BA"/>
    <w:rsid w:val="00F7396F"/>
    <w:rsid w:val="00F73B14"/>
    <w:rsid w:val="00F74899"/>
    <w:rsid w:val="00F752AB"/>
    <w:rsid w:val="00F755EB"/>
    <w:rsid w:val="00F766AA"/>
    <w:rsid w:val="00F76B2F"/>
    <w:rsid w:val="00F77EF8"/>
    <w:rsid w:val="00F8453B"/>
    <w:rsid w:val="00F856AA"/>
    <w:rsid w:val="00F856DC"/>
    <w:rsid w:val="00F859D4"/>
    <w:rsid w:val="00F85E76"/>
    <w:rsid w:val="00F86CFA"/>
    <w:rsid w:val="00F86FBB"/>
    <w:rsid w:val="00F87C3A"/>
    <w:rsid w:val="00F92B1F"/>
    <w:rsid w:val="00F94552"/>
    <w:rsid w:val="00F9531B"/>
    <w:rsid w:val="00FA0A08"/>
    <w:rsid w:val="00FA3DD5"/>
    <w:rsid w:val="00FA4630"/>
    <w:rsid w:val="00FA79C0"/>
    <w:rsid w:val="00FB5066"/>
    <w:rsid w:val="00FB6B5E"/>
    <w:rsid w:val="00FC12C5"/>
    <w:rsid w:val="00FC3F3E"/>
    <w:rsid w:val="00FC492B"/>
    <w:rsid w:val="00FC4BA6"/>
    <w:rsid w:val="00FC5DE2"/>
    <w:rsid w:val="00FC6D29"/>
    <w:rsid w:val="00FD0711"/>
    <w:rsid w:val="00FD13CC"/>
    <w:rsid w:val="00FD156A"/>
    <w:rsid w:val="00FD2459"/>
    <w:rsid w:val="00FD2F1F"/>
    <w:rsid w:val="00FD3F81"/>
    <w:rsid w:val="00FD4F57"/>
    <w:rsid w:val="00FD50E8"/>
    <w:rsid w:val="00FD540D"/>
    <w:rsid w:val="00FD5E34"/>
    <w:rsid w:val="00FE2697"/>
    <w:rsid w:val="00FE34B4"/>
    <w:rsid w:val="00FE4C8E"/>
    <w:rsid w:val="00FE5129"/>
    <w:rsid w:val="00FE642A"/>
    <w:rsid w:val="00FF139A"/>
    <w:rsid w:val="00FF2660"/>
    <w:rsid w:val="00FF28AE"/>
    <w:rsid w:val="00FF2D83"/>
    <w:rsid w:val="00FF4855"/>
    <w:rsid w:val="00FF4909"/>
    <w:rsid w:val="00FF518C"/>
    <w:rsid w:val="00FF61BF"/>
    <w:rsid w:val="00FF64B8"/>
    <w:rsid w:val="00FF699F"/>
    <w:rsid w:val="00FF6EF2"/>
    <w:rsid w:val="010D38E6"/>
    <w:rsid w:val="012C08A1"/>
    <w:rsid w:val="013F7A9A"/>
    <w:rsid w:val="017D5380"/>
    <w:rsid w:val="0186364F"/>
    <w:rsid w:val="01945DD5"/>
    <w:rsid w:val="01985E8E"/>
    <w:rsid w:val="02335DA9"/>
    <w:rsid w:val="0257768D"/>
    <w:rsid w:val="02C70C81"/>
    <w:rsid w:val="02D57047"/>
    <w:rsid w:val="032356B1"/>
    <w:rsid w:val="03533E92"/>
    <w:rsid w:val="03794318"/>
    <w:rsid w:val="03816D4F"/>
    <w:rsid w:val="03AF5A24"/>
    <w:rsid w:val="03D00084"/>
    <w:rsid w:val="03D01C5F"/>
    <w:rsid w:val="0450645B"/>
    <w:rsid w:val="046A623F"/>
    <w:rsid w:val="04906F0D"/>
    <w:rsid w:val="04C422D8"/>
    <w:rsid w:val="04D919C8"/>
    <w:rsid w:val="05021777"/>
    <w:rsid w:val="052D13F0"/>
    <w:rsid w:val="05446292"/>
    <w:rsid w:val="056952A3"/>
    <w:rsid w:val="0576704B"/>
    <w:rsid w:val="05B821F2"/>
    <w:rsid w:val="05B85CBD"/>
    <w:rsid w:val="05FE2C60"/>
    <w:rsid w:val="063B04AC"/>
    <w:rsid w:val="066B2980"/>
    <w:rsid w:val="06863DD7"/>
    <w:rsid w:val="06B30223"/>
    <w:rsid w:val="06B37970"/>
    <w:rsid w:val="06BB7496"/>
    <w:rsid w:val="06E15158"/>
    <w:rsid w:val="06FB3C55"/>
    <w:rsid w:val="0703310E"/>
    <w:rsid w:val="073024F2"/>
    <w:rsid w:val="07550BF3"/>
    <w:rsid w:val="077F3D5C"/>
    <w:rsid w:val="07933A4D"/>
    <w:rsid w:val="07C14408"/>
    <w:rsid w:val="07CD0160"/>
    <w:rsid w:val="07D91B14"/>
    <w:rsid w:val="080D66CF"/>
    <w:rsid w:val="08211367"/>
    <w:rsid w:val="08847377"/>
    <w:rsid w:val="09120356"/>
    <w:rsid w:val="096B2603"/>
    <w:rsid w:val="099C6043"/>
    <w:rsid w:val="09A135D7"/>
    <w:rsid w:val="09C33484"/>
    <w:rsid w:val="0A1538B9"/>
    <w:rsid w:val="0A183FC2"/>
    <w:rsid w:val="0A7D1508"/>
    <w:rsid w:val="0B0E14EB"/>
    <w:rsid w:val="0B6D7EE1"/>
    <w:rsid w:val="0B882B40"/>
    <w:rsid w:val="0B9A0FEB"/>
    <w:rsid w:val="0B9F3F6C"/>
    <w:rsid w:val="0BEC76F6"/>
    <w:rsid w:val="0C360518"/>
    <w:rsid w:val="0C453A79"/>
    <w:rsid w:val="0C5B79EA"/>
    <w:rsid w:val="0C932F6D"/>
    <w:rsid w:val="0C973A34"/>
    <w:rsid w:val="0CAD3D6D"/>
    <w:rsid w:val="0CD6758F"/>
    <w:rsid w:val="0D291176"/>
    <w:rsid w:val="0D2A3B44"/>
    <w:rsid w:val="0D2F3A03"/>
    <w:rsid w:val="0D830F15"/>
    <w:rsid w:val="0DC43808"/>
    <w:rsid w:val="0DDB0848"/>
    <w:rsid w:val="0E04548E"/>
    <w:rsid w:val="0E232311"/>
    <w:rsid w:val="0E363474"/>
    <w:rsid w:val="0E516AD5"/>
    <w:rsid w:val="0E5A6B98"/>
    <w:rsid w:val="0E7F1356"/>
    <w:rsid w:val="0EF32C8D"/>
    <w:rsid w:val="0F392181"/>
    <w:rsid w:val="0F643704"/>
    <w:rsid w:val="0F6B7229"/>
    <w:rsid w:val="1010323F"/>
    <w:rsid w:val="104963C3"/>
    <w:rsid w:val="106C1F3C"/>
    <w:rsid w:val="108246FA"/>
    <w:rsid w:val="10AB3149"/>
    <w:rsid w:val="10B81DA0"/>
    <w:rsid w:val="11044578"/>
    <w:rsid w:val="1114228A"/>
    <w:rsid w:val="111B4023"/>
    <w:rsid w:val="11567B8B"/>
    <w:rsid w:val="11844114"/>
    <w:rsid w:val="118947D1"/>
    <w:rsid w:val="11BB6684"/>
    <w:rsid w:val="11CA1BF4"/>
    <w:rsid w:val="11D413A7"/>
    <w:rsid w:val="11F71F75"/>
    <w:rsid w:val="12716043"/>
    <w:rsid w:val="127D5893"/>
    <w:rsid w:val="127D5B21"/>
    <w:rsid w:val="12A93FF4"/>
    <w:rsid w:val="12C91B31"/>
    <w:rsid w:val="13025E25"/>
    <w:rsid w:val="131C764A"/>
    <w:rsid w:val="13657A76"/>
    <w:rsid w:val="13973806"/>
    <w:rsid w:val="13AE7D5A"/>
    <w:rsid w:val="13D05FF2"/>
    <w:rsid w:val="13D401ED"/>
    <w:rsid w:val="13FA497D"/>
    <w:rsid w:val="143915A5"/>
    <w:rsid w:val="146A010D"/>
    <w:rsid w:val="14707D33"/>
    <w:rsid w:val="1491614A"/>
    <w:rsid w:val="14CA39A9"/>
    <w:rsid w:val="15260E5C"/>
    <w:rsid w:val="154B5F34"/>
    <w:rsid w:val="157E4085"/>
    <w:rsid w:val="1583133E"/>
    <w:rsid w:val="15980968"/>
    <w:rsid w:val="159C7F73"/>
    <w:rsid w:val="15B27E25"/>
    <w:rsid w:val="15C80049"/>
    <w:rsid w:val="15CD44D1"/>
    <w:rsid w:val="160D0796"/>
    <w:rsid w:val="161A7E53"/>
    <w:rsid w:val="164E735F"/>
    <w:rsid w:val="16820D02"/>
    <w:rsid w:val="168D7E8D"/>
    <w:rsid w:val="169063CD"/>
    <w:rsid w:val="16AC5F4D"/>
    <w:rsid w:val="16B92181"/>
    <w:rsid w:val="16E75190"/>
    <w:rsid w:val="174C3ADC"/>
    <w:rsid w:val="176F5D34"/>
    <w:rsid w:val="179B7C2C"/>
    <w:rsid w:val="181C3EAE"/>
    <w:rsid w:val="18784ABF"/>
    <w:rsid w:val="1899715F"/>
    <w:rsid w:val="18B36606"/>
    <w:rsid w:val="19000B10"/>
    <w:rsid w:val="19131D2F"/>
    <w:rsid w:val="19162CB4"/>
    <w:rsid w:val="191B29BF"/>
    <w:rsid w:val="191C43C4"/>
    <w:rsid w:val="195B1F21"/>
    <w:rsid w:val="197005D4"/>
    <w:rsid w:val="19844BDA"/>
    <w:rsid w:val="19851ED0"/>
    <w:rsid w:val="1A5B334B"/>
    <w:rsid w:val="1A74698A"/>
    <w:rsid w:val="1A7B4C91"/>
    <w:rsid w:val="1A7E748E"/>
    <w:rsid w:val="1A9E74C5"/>
    <w:rsid w:val="1A9E7F79"/>
    <w:rsid w:val="1AAC1D86"/>
    <w:rsid w:val="1AC474F7"/>
    <w:rsid w:val="1B9A46A6"/>
    <w:rsid w:val="1BAB5904"/>
    <w:rsid w:val="1BBC037E"/>
    <w:rsid w:val="1BCB44A6"/>
    <w:rsid w:val="1BDC4741"/>
    <w:rsid w:val="1BEB756D"/>
    <w:rsid w:val="1C1D6B0D"/>
    <w:rsid w:val="1C31271A"/>
    <w:rsid w:val="1C353ED6"/>
    <w:rsid w:val="1C56107F"/>
    <w:rsid w:val="1C7A04B1"/>
    <w:rsid w:val="1C803EFD"/>
    <w:rsid w:val="1CE32D75"/>
    <w:rsid w:val="1D1C722C"/>
    <w:rsid w:val="1D211DF4"/>
    <w:rsid w:val="1D46055D"/>
    <w:rsid w:val="1D817A26"/>
    <w:rsid w:val="1DB73C0D"/>
    <w:rsid w:val="1DC22561"/>
    <w:rsid w:val="1DD1211F"/>
    <w:rsid w:val="1DD63007"/>
    <w:rsid w:val="1DE12218"/>
    <w:rsid w:val="1E1064AA"/>
    <w:rsid w:val="1E114527"/>
    <w:rsid w:val="1E4C270A"/>
    <w:rsid w:val="1E6A0ABE"/>
    <w:rsid w:val="1E6E31AD"/>
    <w:rsid w:val="1E9624B3"/>
    <w:rsid w:val="1EF86B31"/>
    <w:rsid w:val="1F0B7DCE"/>
    <w:rsid w:val="1F233C04"/>
    <w:rsid w:val="1F453019"/>
    <w:rsid w:val="1F603B25"/>
    <w:rsid w:val="1F7F1CCB"/>
    <w:rsid w:val="1F9F7916"/>
    <w:rsid w:val="1FB76E47"/>
    <w:rsid w:val="1FEC076E"/>
    <w:rsid w:val="200A5ED9"/>
    <w:rsid w:val="20124116"/>
    <w:rsid w:val="20982E05"/>
    <w:rsid w:val="20AA7CDC"/>
    <w:rsid w:val="20FB092C"/>
    <w:rsid w:val="2135018D"/>
    <w:rsid w:val="21894C2C"/>
    <w:rsid w:val="21982616"/>
    <w:rsid w:val="21A6185F"/>
    <w:rsid w:val="21AE1EEC"/>
    <w:rsid w:val="21CC5612"/>
    <w:rsid w:val="2204012F"/>
    <w:rsid w:val="22264B96"/>
    <w:rsid w:val="223504AD"/>
    <w:rsid w:val="22955C0B"/>
    <w:rsid w:val="22A82FE4"/>
    <w:rsid w:val="23102595"/>
    <w:rsid w:val="23184AEF"/>
    <w:rsid w:val="23195423"/>
    <w:rsid w:val="23301B09"/>
    <w:rsid w:val="236E3877"/>
    <w:rsid w:val="23C06D0D"/>
    <w:rsid w:val="23E13BDC"/>
    <w:rsid w:val="23E16895"/>
    <w:rsid w:val="23F97572"/>
    <w:rsid w:val="240A712B"/>
    <w:rsid w:val="24221F33"/>
    <w:rsid w:val="24501F99"/>
    <w:rsid w:val="24647A3B"/>
    <w:rsid w:val="2469135F"/>
    <w:rsid w:val="24B916D5"/>
    <w:rsid w:val="24BF28B1"/>
    <w:rsid w:val="253D7551"/>
    <w:rsid w:val="258C41BC"/>
    <w:rsid w:val="25B23882"/>
    <w:rsid w:val="2611396D"/>
    <w:rsid w:val="262C696D"/>
    <w:rsid w:val="264847F5"/>
    <w:rsid w:val="264C0DCE"/>
    <w:rsid w:val="26A548B3"/>
    <w:rsid w:val="26C45F7A"/>
    <w:rsid w:val="26CB23E7"/>
    <w:rsid w:val="26D33C5B"/>
    <w:rsid w:val="27A41677"/>
    <w:rsid w:val="27D363A4"/>
    <w:rsid w:val="27EA448C"/>
    <w:rsid w:val="27F83D45"/>
    <w:rsid w:val="2814462C"/>
    <w:rsid w:val="28835907"/>
    <w:rsid w:val="2895041E"/>
    <w:rsid w:val="28C75AC3"/>
    <w:rsid w:val="28CF0113"/>
    <w:rsid w:val="28E264E9"/>
    <w:rsid w:val="28F519C1"/>
    <w:rsid w:val="290D1266"/>
    <w:rsid w:val="29932BD9"/>
    <w:rsid w:val="29AA1797"/>
    <w:rsid w:val="29B303FC"/>
    <w:rsid w:val="29C71C98"/>
    <w:rsid w:val="29E412C9"/>
    <w:rsid w:val="29EC293B"/>
    <w:rsid w:val="2A156EE1"/>
    <w:rsid w:val="2A652B1C"/>
    <w:rsid w:val="2A74621B"/>
    <w:rsid w:val="2A8E4FDF"/>
    <w:rsid w:val="2A9E073C"/>
    <w:rsid w:val="2ABB3548"/>
    <w:rsid w:val="2AF24590"/>
    <w:rsid w:val="2B493323"/>
    <w:rsid w:val="2B5214A0"/>
    <w:rsid w:val="2B893853"/>
    <w:rsid w:val="2B9112D6"/>
    <w:rsid w:val="2BD36A44"/>
    <w:rsid w:val="2BEC169E"/>
    <w:rsid w:val="2C425814"/>
    <w:rsid w:val="2C6B2249"/>
    <w:rsid w:val="2C883D66"/>
    <w:rsid w:val="2C8F29C4"/>
    <w:rsid w:val="2CAB1E2C"/>
    <w:rsid w:val="2CBC37A2"/>
    <w:rsid w:val="2CFA4BF4"/>
    <w:rsid w:val="2D4C56A4"/>
    <w:rsid w:val="2D804281"/>
    <w:rsid w:val="2D9609D1"/>
    <w:rsid w:val="2D962B63"/>
    <w:rsid w:val="2DD724C3"/>
    <w:rsid w:val="2DE36EAD"/>
    <w:rsid w:val="2DFD2703"/>
    <w:rsid w:val="2E1809FE"/>
    <w:rsid w:val="2E576295"/>
    <w:rsid w:val="2E6D09CF"/>
    <w:rsid w:val="2F6359AD"/>
    <w:rsid w:val="2FAA136A"/>
    <w:rsid w:val="2FDA3BD8"/>
    <w:rsid w:val="30590639"/>
    <w:rsid w:val="306E4D19"/>
    <w:rsid w:val="30772748"/>
    <w:rsid w:val="30C21006"/>
    <w:rsid w:val="30C35B6B"/>
    <w:rsid w:val="30DC6B70"/>
    <w:rsid w:val="319A0D87"/>
    <w:rsid w:val="31B72E7F"/>
    <w:rsid w:val="31B9326C"/>
    <w:rsid w:val="31C636D4"/>
    <w:rsid w:val="31F80989"/>
    <w:rsid w:val="32020F1E"/>
    <w:rsid w:val="322A278A"/>
    <w:rsid w:val="32323595"/>
    <w:rsid w:val="327563EC"/>
    <w:rsid w:val="328D46F6"/>
    <w:rsid w:val="32E64D8F"/>
    <w:rsid w:val="32FA1831"/>
    <w:rsid w:val="33141557"/>
    <w:rsid w:val="332B21BB"/>
    <w:rsid w:val="33472B63"/>
    <w:rsid w:val="33727742"/>
    <w:rsid w:val="33962FC8"/>
    <w:rsid w:val="33B02259"/>
    <w:rsid w:val="33B94062"/>
    <w:rsid w:val="33CE09A4"/>
    <w:rsid w:val="33F31A49"/>
    <w:rsid w:val="34004F6F"/>
    <w:rsid w:val="342866FA"/>
    <w:rsid w:val="343061AA"/>
    <w:rsid w:val="349430FD"/>
    <w:rsid w:val="352B08FE"/>
    <w:rsid w:val="35711E9E"/>
    <w:rsid w:val="36066E6C"/>
    <w:rsid w:val="363A1903"/>
    <w:rsid w:val="363E12F1"/>
    <w:rsid w:val="36535FEF"/>
    <w:rsid w:val="36593D46"/>
    <w:rsid w:val="368075B3"/>
    <w:rsid w:val="368C66F3"/>
    <w:rsid w:val="36BD3D96"/>
    <w:rsid w:val="36EC791B"/>
    <w:rsid w:val="36F6333B"/>
    <w:rsid w:val="36FF1BDC"/>
    <w:rsid w:val="371C17F1"/>
    <w:rsid w:val="375216C5"/>
    <w:rsid w:val="37557B1F"/>
    <w:rsid w:val="37955C98"/>
    <w:rsid w:val="379A6637"/>
    <w:rsid w:val="37AE213B"/>
    <w:rsid w:val="382B4D7E"/>
    <w:rsid w:val="384920EB"/>
    <w:rsid w:val="38661D1D"/>
    <w:rsid w:val="387415AD"/>
    <w:rsid w:val="38C5487B"/>
    <w:rsid w:val="38F73A5E"/>
    <w:rsid w:val="3917265F"/>
    <w:rsid w:val="392F5B47"/>
    <w:rsid w:val="394C55DD"/>
    <w:rsid w:val="39560F11"/>
    <w:rsid w:val="3997163C"/>
    <w:rsid w:val="39CF2763"/>
    <w:rsid w:val="39F63CA8"/>
    <w:rsid w:val="3A107240"/>
    <w:rsid w:val="3A316F85"/>
    <w:rsid w:val="3A6F00EE"/>
    <w:rsid w:val="3AA31842"/>
    <w:rsid w:val="3AD85951"/>
    <w:rsid w:val="3AE85A27"/>
    <w:rsid w:val="3B5D159B"/>
    <w:rsid w:val="3BCC6D26"/>
    <w:rsid w:val="3BDB4DC2"/>
    <w:rsid w:val="3BF9203D"/>
    <w:rsid w:val="3C3E3922"/>
    <w:rsid w:val="3C4A080C"/>
    <w:rsid w:val="3C5C7F5E"/>
    <w:rsid w:val="3C713E33"/>
    <w:rsid w:val="3C7C0496"/>
    <w:rsid w:val="3CA1526D"/>
    <w:rsid w:val="3CA4480B"/>
    <w:rsid w:val="3CC73AC6"/>
    <w:rsid w:val="3CCC58AF"/>
    <w:rsid w:val="3D102D01"/>
    <w:rsid w:val="3D652A0D"/>
    <w:rsid w:val="3DEB6E42"/>
    <w:rsid w:val="3DEF0B31"/>
    <w:rsid w:val="3E446709"/>
    <w:rsid w:val="3E5D0786"/>
    <w:rsid w:val="3EA708AB"/>
    <w:rsid w:val="3EE13BFD"/>
    <w:rsid w:val="3F1C67F4"/>
    <w:rsid w:val="3FCD6D54"/>
    <w:rsid w:val="406D4392"/>
    <w:rsid w:val="40880B2D"/>
    <w:rsid w:val="409003E3"/>
    <w:rsid w:val="409F4BE5"/>
    <w:rsid w:val="40AF42C0"/>
    <w:rsid w:val="40D432EC"/>
    <w:rsid w:val="41005800"/>
    <w:rsid w:val="410C0F9F"/>
    <w:rsid w:val="412C31CF"/>
    <w:rsid w:val="417B39F7"/>
    <w:rsid w:val="41965B49"/>
    <w:rsid w:val="41A15980"/>
    <w:rsid w:val="41B5743A"/>
    <w:rsid w:val="41EF3B8C"/>
    <w:rsid w:val="424D420E"/>
    <w:rsid w:val="428D35AE"/>
    <w:rsid w:val="42967A78"/>
    <w:rsid w:val="4382005A"/>
    <w:rsid w:val="43892CEE"/>
    <w:rsid w:val="43AA1518"/>
    <w:rsid w:val="43AD4105"/>
    <w:rsid w:val="43BE12DF"/>
    <w:rsid w:val="43CE04D4"/>
    <w:rsid w:val="43D77F9A"/>
    <w:rsid w:val="43EE4803"/>
    <w:rsid w:val="44092635"/>
    <w:rsid w:val="44165302"/>
    <w:rsid w:val="44715F3C"/>
    <w:rsid w:val="44804274"/>
    <w:rsid w:val="449D4DBC"/>
    <w:rsid w:val="44A6752F"/>
    <w:rsid w:val="44C70602"/>
    <w:rsid w:val="4519728B"/>
    <w:rsid w:val="453623F3"/>
    <w:rsid w:val="454B23C1"/>
    <w:rsid w:val="45637F29"/>
    <w:rsid w:val="45693030"/>
    <w:rsid w:val="45773CB0"/>
    <w:rsid w:val="45814258"/>
    <w:rsid w:val="45AD4C53"/>
    <w:rsid w:val="45EB5667"/>
    <w:rsid w:val="46164679"/>
    <w:rsid w:val="46202CC2"/>
    <w:rsid w:val="46210857"/>
    <w:rsid w:val="4635295E"/>
    <w:rsid w:val="463D62B8"/>
    <w:rsid w:val="464157DD"/>
    <w:rsid w:val="4653681F"/>
    <w:rsid w:val="468B50CB"/>
    <w:rsid w:val="46B1257F"/>
    <w:rsid w:val="46C7740C"/>
    <w:rsid w:val="46CF127F"/>
    <w:rsid w:val="46F552B2"/>
    <w:rsid w:val="470637DF"/>
    <w:rsid w:val="475E4D63"/>
    <w:rsid w:val="477F3100"/>
    <w:rsid w:val="47811372"/>
    <w:rsid w:val="47A92D2E"/>
    <w:rsid w:val="47A95ADF"/>
    <w:rsid w:val="48232CCD"/>
    <w:rsid w:val="482352E0"/>
    <w:rsid w:val="4857302F"/>
    <w:rsid w:val="486F627C"/>
    <w:rsid w:val="48817CD1"/>
    <w:rsid w:val="4886413F"/>
    <w:rsid w:val="48A71300"/>
    <w:rsid w:val="48E644E1"/>
    <w:rsid w:val="492910C9"/>
    <w:rsid w:val="494016FB"/>
    <w:rsid w:val="49511379"/>
    <w:rsid w:val="4971160B"/>
    <w:rsid w:val="499B19DE"/>
    <w:rsid w:val="49B5495C"/>
    <w:rsid w:val="49C53F5F"/>
    <w:rsid w:val="4A1E0691"/>
    <w:rsid w:val="4A1F61C6"/>
    <w:rsid w:val="4A471E8F"/>
    <w:rsid w:val="4AAD3591"/>
    <w:rsid w:val="4B1E3CA1"/>
    <w:rsid w:val="4B233AA9"/>
    <w:rsid w:val="4B3606D3"/>
    <w:rsid w:val="4B423CFD"/>
    <w:rsid w:val="4B55092A"/>
    <w:rsid w:val="4B603035"/>
    <w:rsid w:val="4B8E1C86"/>
    <w:rsid w:val="4B94092F"/>
    <w:rsid w:val="4BF472B7"/>
    <w:rsid w:val="4C0457A8"/>
    <w:rsid w:val="4C874EEC"/>
    <w:rsid w:val="4CF72CFE"/>
    <w:rsid w:val="4CF93840"/>
    <w:rsid w:val="4D5D46C2"/>
    <w:rsid w:val="4D8330BA"/>
    <w:rsid w:val="4D8856C9"/>
    <w:rsid w:val="4DA109CD"/>
    <w:rsid w:val="4DFB61FC"/>
    <w:rsid w:val="4DFF21E5"/>
    <w:rsid w:val="4DFF4F2A"/>
    <w:rsid w:val="4E175B2C"/>
    <w:rsid w:val="4E4C0CA8"/>
    <w:rsid w:val="4E56180A"/>
    <w:rsid w:val="4E6C1598"/>
    <w:rsid w:val="4EA827DD"/>
    <w:rsid w:val="4EDF23C0"/>
    <w:rsid w:val="4F1916F3"/>
    <w:rsid w:val="4F2367AD"/>
    <w:rsid w:val="4F4F76D6"/>
    <w:rsid w:val="4F80187B"/>
    <w:rsid w:val="50013709"/>
    <w:rsid w:val="500D49DD"/>
    <w:rsid w:val="501A56C4"/>
    <w:rsid w:val="503714A5"/>
    <w:rsid w:val="50532554"/>
    <w:rsid w:val="507339C8"/>
    <w:rsid w:val="50B04C9F"/>
    <w:rsid w:val="50FA6B69"/>
    <w:rsid w:val="511C4B20"/>
    <w:rsid w:val="518461AC"/>
    <w:rsid w:val="51AE3A12"/>
    <w:rsid w:val="51BB2F98"/>
    <w:rsid w:val="51FF7316"/>
    <w:rsid w:val="520C134B"/>
    <w:rsid w:val="521F3476"/>
    <w:rsid w:val="525A69D7"/>
    <w:rsid w:val="527506CC"/>
    <w:rsid w:val="52B84C5D"/>
    <w:rsid w:val="52C319D8"/>
    <w:rsid w:val="53286949"/>
    <w:rsid w:val="53533399"/>
    <w:rsid w:val="536A7BE8"/>
    <w:rsid w:val="536D1678"/>
    <w:rsid w:val="537700E9"/>
    <w:rsid w:val="53987679"/>
    <w:rsid w:val="53A60CCB"/>
    <w:rsid w:val="53AC613D"/>
    <w:rsid w:val="53B377D3"/>
    <w:rsid w:val="53EE7ECE"/>
    <w:rsid w:val="53FA4A2F"/>
    <w:rsid w:val="543A0B0C"/>
    <w:rsid w:val="5453201B"/>
    <w:rsid w:val="54773B3D"/>
    <w:rsid w:val="548223F4"/>
    <w:rsid w:val="54B96BDA"/>
    <w:rsid w:val="5537097D"/>
    <w:rsid w:val="55524673"/>
    <w:rsid w:val="55712323"/>
    <w:rsid w:val="558E2274"/>
    <w:rsid w:val="55AF4DF5"/>
    <w:rsid w:val="55B671FC"/>
    <w:rsid w:val="55D178F6"/>
    <w:rsid w:val="55EE1D7B"/>
    <w:rsid w:val="56036DBA"/>
    <w:rsid w:val="565F34C2"/>
    <w:rsid w:val="567A4DBA"/>
    <w:rsid w:val="56C31EE8"/>
    <w:rsid w:val="56CD70B2"/>
    <w:rsid w:val="56EC6450"/>
    <w:rsid w:val="56FF6B56"/>
    <w:rsid w:val="570A2E1E"/>
    <w:rsid w:val="57130446"/>
    <w:rsid w:val="57170602"/>
    <w:rsid w:val="57530744"/>
    <w:rsid w:val="576D3AC5"/>
    <w:rsid w:val="576F77AC"/>
    <w:rsid w:val="57DC10DA"/>
    <w:rsid w:val="57F731DF"/>
    <w:rsid w:val="58236399"/>
    <w:rsid w:val="583875AF"/>
    <w:rsid w:val="58593D6D"/>
    <w:rsid w:val="58705C2C"/>
    <w:rsid w:val="58C918AD"/>
    <w:rsid w:val="590E5061"/>
    <w:rsid w:val="594A2B8C"/>
    <w:rsid w:val="595001F3"/>
    <w:rsid w:val="59565320"/>
    <w:rsid w:val="598422AA"/>
    <w:rsid w:val="59BE6EEC"/>
    <w:rsid w:val="59D75CC5"/>
    <w:rsid w:val="5A022734"/>
    <w:rsid w:val="5A134409"/>
    <w:rsid w:val="5A135EA7"/>
    <w:rsid w:val="5A405304"/>
    <w:rsid w:val="5A764509"/>
    <w:rsid w:val="5A804E07"/>
    <w:rsid w:val="5A890EA6"/>
    <w:rsid w:val="5AC35BD0"/>
    <w:rsid w:val="5AD91F9A"/>
    <w:rsid w:val="5B0B635B"/>
    <w:rsid w:val="5B230079"/>
    <w:rsid w:val="5B5B3870"/>
    <w:rsid w:val="5BD576E8"/>
    <w:rsid w:val="5BF25BDA"/>
    <w:rsid w:val="5CB21D32"/>
    <w:rsid w:val="5CC423E0"/>
    <w:rsid w:val="5CF24C0B"/>
    <w:rsid w:val="5D0D1F8B"/>
    <w:rsid w:val="5D475BDB"/>
    <w:rsid w:val="5D594C10"/>
    <w:rsid w:val="5D5C0649"/>
    <w:rsid w:val="5D7E1EB5"/>
    <w:rsid w:val="5DE45D61"/>
    <w:rsid w:val="5DFD5A88"/>
    <w:rsid w:val="5E143C2C"/>
    <w:rsid w:val="5E2823DF"/>
    <w:rsid w:val="5E3C172A"/>
    <w:rsid w:val="5E552253"/>
    <w:rsid w:val="5E6C431C"/>
    <w:rsid w:val="5E8158FA"/>
    <w:rsid w:val="5ED82795"/>
    <w:rsid w:val="5F7B450A"/>
    <w:rsid w:val="5F7E4A71"/>
    <w:rsid w:val="5F9B50B7"/>
    <w:rsid w:val="5FA03267"/>
    <w:rsid w:val="5FAC2590"/>
    <w:rsid w:val="5FC415FF"/>
    <w:rsid w:val="5FE9172E"/>
    <w:rsid w:val="600061D4"/>
    <w:rsid w:val="60347C3A"/>
    <w:rsid w:val="607C00D9"/>
    <w:rsid w:val="609E69DD"/>
    <w:rsid w:val="60BD01BD"/>
    <w:rsid w:val="60D24371"/>
    <w:rsid w:val="60D64F73"/>
    <w:rsid w:val="61060321"/>
    <w:rsid w:val="611F2BCE"/>
    <w:rsid w:val="61301FA4"/>
    <w:rsid w:val="616F2410"/>
    <w:rsid w:val="61A63E02"/>
    <w:rsid w:val="61DB1B0F"/>
    <w:rsid w:val="620302E4"/>
    <w:rsid w:val="624E22EA"/>
    <w:rsid w:val="625A1526"/>
    <w:rsid w:val="625F1E01"/>
    <w:rsid w:val="626D33A6"/>
    <w:rsid w:val="627961AD"/>
    <w:rsid w:val="62A27CF3"/>
    <w:rsid w:val="62D56558"/>
    <w:rsid w:val="62EE45F6"/>
    <w:rsid w:val="63230F2E"/>
    <w:rsid w:val="63286247"/>
    <w:rsid w:val="63286566"/>
    <w:rsid w:val="63332126"/>
    <w:rsid w:val="638A5ECB"/>
    <w:rsid w:val="63E23270"/>
    <w:rsid w:val="64094609"/>
    <w:rsid w:val="64231094"/>
    <w:rsid w:val="6439629A"/>
    <w:rsid w:val="645A30FC"/>
    <w:rsid w:val="646002BB"/>
    <w:rsid w:val="64805D21"/>
    <w:rsid w:val="64B44602"/>
    <w:rsid w:val="64C2718E"/>
    <w:rsid w:val="653350D2"/>
    <w:rsid w:val="653D491D"/>
    <w:rsid w:val="655B6846"/>
    <w:rsid w:val="65893A44"/>
    <w:rsid w:val="65A315A9"/>
    <w:rsid w:val="65A42ED0"/>
    <w:rsid w:val="65B60BEC"/>
    <w:rsid w:val="65E92340"/>
    <w:rsid w:val="6600391A"/>
    <w:rsid w:val="660973AD"/>
    <w:rsid w:val="66553A33"/>
    <w:rsid w:val="665D0100"/>
    <w:rsid w:val="66B7527B"/>
    <w:rsid w:val="66FA0D90"/>
    <w:rsid w:val="67061509"/>
    <w:rsid w:val="672E6E03"/>
    <w:rsid w:val="6736402C"/>
    <w:rsid w:val="67562897"/>
    <w:rsid w:val="67B4474D"/>
    <w:rsid w:val="67F7397F"/>
    <w:rsid w:val="684B6190"/>
    <w:rsid w:val="68524B50"/>
    <w:rsid w:val="68713E79"/>
    <w:rsid w:val="688600A8"/>
    <w:rsid w:val="68896CC6"/>
    <w:rsid w:val="68DF0CC6"/>
    <w:rsid w:val="690832A7"/>
    <w:rsid w:val="69216D6A"/>
    <w:rsid w:val="69473047"/>
    <w:rsid w:val="698D239B"/>
    <w:rsid w:val="69A22CD4"/>
    <w:rsid w:val="69A433E0"/>
    <w:rsid w:val="69D74EB4"/>
    <w:rsid w:val="69FE5BEB"/>
    <w:rsid w:val="6A353F8A"/>
    <w:rsid w:val="6A3A124D"/>
    <w:rsid w:val="6A6B3750"/>
    <w:rsid w:val="6A8870C0"/>
    <w:rsid w:val="6A9F252A"/>
    <w:rsid w:val="6B0F3B01"/>
    <w:rsid w:val="6B3833CB"/>
    <w:rsid w:val="6B3B6CBC"/>
    <w:rsid w:val="6B683A69"/>
    <w:rsid w:val="6B6E012E"/>
    <w:rsid w:val="6B8054DF"/>
    <w:rsid w:val="6B900695"/>
    <w:rsid w:val="6B9F08C6"/>
    <w:rsid w:val="6BB47C73"/>
    <w:rsid w:val="6BB54B75"/>
    <w:rsid w:val="6C00195D"/>
    <w:rsid w:val="6C030EA5"/>
    <w:rsid w:val="6C1C0F80"/>
    <w:rsid w:val="6C301452"/>
    <w:rsid w:val="6C753198"/>
    <w:rsid w:val="6C852F24"/>
    <w:rsid w:val="6CFE1D48"/>
    <w:rsid w:val="6D296D7F"/>
    <w:rsid w:val="6D2C69EA"/>
    <w:rsid w:val="6D321033"/>
    <w:rsid w:val="6D4B57B9"/>
    <w:rsid w:val="6D4D5CE5"/>
    <w:rsid w:val="6E2F6C18"/>
    <w:rsid w:val="6E3E434F"/>
    <w:rsid w:val="6EA0700B"/>
    <w:rsid w:val="6EC67A3B"/>
    <w:rsid w:val="6ED53B08"/>
    <w:rsid w:val="6ED6448C"/>
    <w:rsid w:val="6F37064F"/>
    <w:rsid w:val="6F443CF8"/>
    <w:rsid w:val="6F5E6ABE"/>
    <w:rsid w:val="6FBE5816"/>
    <w:rsid w:val="6FE93AAB"/>
    <w:rsid w:val="6FFC6B6E"/>
    <w:rsid w:val="704D5450"/>
    <w:rsid w:val="705F6DB6"/>
    <w:rsid w:val="70742C7D"/>
    <w:rsid w:val="70A313BB"/>
    <w:rsid w:val="70C62DF2"/>
    <w:rsid w:val="70F80044"/>
    <w:rsid w:val="71396C8D"/>
    <w:rsid w:val="715648CB"/>
    <w:rsid w:val="71732CDA"/>
    <w:rsid w:val="717B4C42"/>
    <w:rsid w:val="719F230A"/>
    <w:rsid w:val="71B07C13"/>
    <w:rsid w:val="71D73CC5"/>
    <w:rsid w:val="71EC668C"/>
    <w:rsid w:val="721B3030"/>
    <w:rsid w:val="727F7A08"/>
    <w:rsid w:val="72B528F4"/>
    <w:rsid w:val="72BA0F3C"/>
    <w:rsid w:val="732646F4"/>
    <w:rsid w:val="73360F5D"/>
    <w:rsid w:val="73841CCA"/>
    <w:rsid w:val="7388529A"/>
    <w:rsid w:val="73A24D67"/>
    <w:rsid w:val="73A66A49"/>
    <w:rsid w:val="73B971C4"/>
    <w:rsid w:val="73C86959"/>
    <w:rsid w:val="73E91653"/>
    <w:rsid w:val="74674F65"/>
    <w:rsid w:val="74941523"/>
    <w:rsid w:val="74F83D6F"/>
    <w:rsid w:val="754B297D"/>
    <w:rsid w:val="75BD49CB"/>
    <w:rsid w:val="75CD28CF"/>
    <w:rsid w:val="75CE28A9"/>
    <w:rsid w:val="76170535"/>
    <w:rsid w:val="764067EB"/>
    <w:rsid w:val="76512F7A"/>
    <w:rsid w:val="76557E73"/>
    <w:rsid w:val="766D5F57"/>
    <w:rsid w:val="767C55CD"/>
    <w:rsid w:val="76A158EF"/>
    <w:rsid w:val="76CD0F57"/>
    <w:rsid w:val="770664D6"/>
    <w:rsid w:val="771D310D"/>
    <w:rsid w:val="77247C84"/>
    <w:rsid w:val="773272DC"/>
    <w:rsid w:val="77CA1A97"/>
    <w:rsid w:val="78160487"/>
    <w:rsid w:val="783F6DAD"/>
    <w:rsid w:val="785C0F59"/>
    <w:rsid w:val="787D2E86"/>
    <w:rsid w:val="78B7622C"/>
    <w:rsid w:val="78CC3056"/>
    <w:rsid w:val="78DB7356"/>
    <w:rsid w:val="79291653"/>
    <w:rsid w:val="79D165E9"/>
    <w:rsid w:val="79EB20F0"/>
    <w:rsid w:val="7A2638E1"/>
    <w:rsid w:val="7A28397D"/>
    <w:rsid w:val="7A9F13A5"/>
    <w:rsid w:val="7AAA6425"/>
    <w:rsid w:val="7ABA4DB2"/>
    <w:rsid w:val="7ABE6361"/>
    <w:rsid w:val="7B494CA8"/>
    <w:rsid w:val="7B664481"/>
    <w:rsid w:val="7B9810FC"/>
    <w:rsid w:val="7BDD49DB"/>
    <w:rsid w:val="7BE95667"/>
    <w:rsid w:val="7C010F6E"/>
    <w:rsid w:val="7C045CD9"/>
    <w:rsid w:val="7C451B23"/>
    <w:rsid w:val="7C4E123A"/>
    <w:rsid w:val="7C744CA0"/>
    <w:rsid w:val="7CB9090A"/>
    <w:rsid w:val="7CE43A86"/>
    <w:rsid w:val="7D0B53C1"/>
    <w:rsid w:val="7D361128"/>
    <w:rsid w:val="7D99693E"/>
    <w:rsid w:val="7DDA2898"/>
    <w:rsid w:val="7E4A2971"/>
    <w:rsid w:val="7E4B094B"/>
    <w:rsid w:val="7E5008C1"/>
    <w:rsid w:val="7E886628"/>
    <w:rsid w:val="7E8B5ADD"/>
    <w:rsid w:val="7E936BB7"/>
    <w:rsid w:val="7E9C0A67"/>
    <w:rsid w:val="7EF0631F"/>
    <w:rsid w:val="7F1403AC"/>
    <w:rsid w:val="7F19412A"/>
    <w:rsid w:val="7F2967DF"/>
    <w:rsid w:val="7F3219A1"/>
    <w:rsid w:val="7F627820"/>
    <w:rsid w:val="7FE14DB9"/>
    <w:rsid w:val="7FF23D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rFonts w:ascii="Times New Roman" w:hAnsi="Times New Roman" w:cs="Times New Roman"/>
      <w:b/>
      <w:bCs/>
      <w:kern w:val="44"/>
      <w:sz w:val="44"/>
      <w:szCs w:val="44"/>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3">
    <w:name w:val="caption"/>
    <w:basedOn w:val="1"/>
    <w:next w:val="1"/>
    <w:link w:val="33"/>
    <w:qFormat/>
    <w:uiPriority w:val="35"/>
    <w:rPr>
      <w:rFonts w:ascii="Calibri Light" w:hAnsi="Calibri Light" w:eastAsia="黑体" w:cs="Times New Roman"/>
      <w:sz w:val="20"/>
      <w:szCs w:val="20"/>
    </w:rPr>
  </w:style>
  <w:style w:type="paragraph" w:styleId="4">
    <w:name w:val="Document Map"/>
    <w:basedOn w:val="1"/>
    <w:link w:val="51"/>
    <w:unhideWhenUsed/>
    <w:qFormat/>
    <w:uiPriority w:val="0"/>
    <w:rPr>
      <w:rFonts w:ascii="宋体"/>
      <w:sz w:val="18"/>
      <w:szCs w:val="18"/>
    </w:rPr>
  </w:style>
  <w:style w:type="paragraph" w:styleId="5">
    <w:name w:val="annotation text"/>
    <w:basedOn w:val="1"/>
    <w:link w:val="35"/>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Balloon Text"/>
    <w:basedOn w:val="1"/>
    <w:link w:val="40"/>
    <w:unhideWhenUsed/>
    <w:qFormat/>
    <w:uiPriority w:val="99"/>
    <w:rPr>
      <w:rFonts w:ascii="Times New Roman" w:hAnsi="Times New Roman" w:cs="Times New Roman"/>
      <w:kern w:val="0"/>
      <w:sz w:val="18"/>
      <w:szCs w:val="18"/>
    </w:rPr>
  </w:style>
  <w:style w:type="paragraph" w:styleId="8">
    <w:name w:val="footer"/>
    <w:basedOn w:val="1"/>
    <w:link w:val="38"/>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9">
    <w:name w:val="header"/>
    <w:basedOn w:val="1"/>
    <w:link w:val="37"/>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0">
    <w:name w:val="toc 1"/>
    <w:basedOn w:val="1"/>
    <w:next w:val="1"/>
    <w:unhideWhenUsed/>
    <w:qFormat/>
    <w:uiPriority w:val="39"/>
  </w:style>
  <w:style w:type="paragraph" w:styleId="11">
    <w:name w:val="footnote text"/>
    <w:basedOn w:val="1"/>
    <w:link w:val="45"/>
    <w:qFormat/>
    <w:uiPriority w:val="0"/>
    <w:pPr>
      <w:snapToGrid w:val="0"/>
      <w:jc w:val="left"/>
    </w:pPr>
    <w:rPr>
      <w:rFonts w:ascii="Times New Roman" w:hAnsi="Times New Roman" w:cs="Times New Roman"/>
      <w:kern w:val="0"/>
      <w:sz w:val="18"/>
      <w:szCs w:val="18"/>
    </w:rPr>
  </w:style>
  <w:style w:type="paragraph" w:styleId="12">
    <w:name w:val="toc 2"/>
    <w:basedOn w:val="1"/>
    <w:next w:val="1"/>
    <w:unhideWhenUsed/>
    <w:qFormat/>
    <w:uiPriority w:val="39"/>
    <w:pPr>
      <w:ind w:left="420" w:leftChars="200"/>
    </w:pPr>
  </w:style>
  <w:style w:type="paragraph" w:styleId="13">
    <w:name w:val="annotation subject"/>
    <w:basedOn w:val="5"/>
    <w:next w:val="5"/>
    <w:link w:val="46"/>
    <w:unhideWhenUsed/>
    <w:qFormat/>
    <w:uiPriority w:val="99"/>
    <w:rPr>
      <w:rFonts w:ascii="Times New Roman" w:hAnsi="Times New Roman" w:cs="Times New Roman"/>
      <w:b/>
      <w:bCs/>
      <w:kern w:val="0"/>
      <w:sz w:val="20"/>
      <w:szCs w:val="20"/>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rPr>
  </w:style>
  <w:style w:type="character" w:styleId="18">
    <w:name w:val="page number"/>
    <w:basedOn w:val="16"/>
    <w:unhideWhenUsed/>
    <w:qFormat/>
    <w:uiPriority w:val="0"/>
  </w:style>
  <w:style w:type="character" w:styleId="19">
    <w:name w:val="FollowedHyperlink"/>
    <w:basedOn w:val="16"/>
    <w:unhideWhenUsed/>
    <w:qFormat/>
    <w:uiPriority w:val="0"/>
    <w:rPr>
      <w:color w:val="338DE6"/>
      <w:u w:val="none"/>
    </w:rPr>
  </w:style>
  <w:style w:type="character" w:styleId="20">
    <w:name w:val="Emphasis"/>
    <w:basedOn w:val="16"/>
    <w:qFormat/>
    <w:uiPriority w:val="20"/>
  </w:style>
  <w:style w:type="character" w:styleId="21">
    <w:name w:val="HTML Definition"/>
    <w:basedOn w:val="16"/>
    <w:unhideWhenUsed/>
    <w:qFormat/>
    <w:uiPriority w:val="0"/>
  </w:style>
  <w:style w:type="character" w:styleId="22">
    <w:name w:val="HTML Variable"/>
    <w:basedOn w:val="16"/>
    <w:unhideWhenUsed/>
    <w:qFormat/>
    <w:uiPriority w:val="0"/>
  </w:style>
  <w:style w:type="character" w:styleId="23">
    <w:name w:val="Hyperlink"/>
    <w:basedOn w:val="16"/>
    <w:unhideWhenUsed/>
    <w:qFormat/>
    <w:uiPriority w:val="99"/>
    <w:rPr>
      <w:color w:val="0563C1"/>
      <w:u w:val="single"/>
    </w:rPr>
  </w:style>
  <w:style w:type="character" w:styleId="24">
    <w:name w:val="HTML Code"/>
    <w:basedOn w:val="16"/>
    <w:unhideWhenUsed/>
    <w:qFormat/>
    <w:uiPriority w:val="0"/>
    <w:rPr>
      <w:rFonts w:hint="default" w:ascii="monospace" w:hAnsi="monospace" w:eastAsia="monospace" w:cs="monospace"/>
      <w:sz w:val="21"/>
      <w:szCs w:val="21"/>
    </w:rPr>
  </w:style>
  <w:style w:type="character" w:styleId="25">
    <w:name w:val="annotation reference"/>
    <w:unhideWhenUsed/>
    <w:qFormat/>
    <w:uiPriority w:val="99"/>
    <w:rPr>
      <w:sz w:val="21"/>
      <w:szCs w:val="21"/>
    </w:rPr>
  </w:style>
  <w:style w:type="character" w:styleId="26">
    <w:name w:val="HTML Cite"/>
    <w:basedOn w:val="16"/>
    <w:unhideWhenUsed/>
    <w:qFormat/>
    <w:uiPriority w:val="0"/>
  </w:style>
  <w:style w:type="character" w:styleId="27">
    <w:name w:val="footnote reference"/>
    <w:qFormat/>
    <w:uiPriority w:val="0"/>
    <w:rPr>
      <w:vertAlign w:val="superscript"/>
    </w:rPr>
  </w:style>
  <w:style w:type="character" w:styleId="28">
    <w:name w:val="HTML Keyboard"/>
    <w:basedOn w:val="16"/>
    <w:unhideWhenUsed/>
    <w:qFormat/>
    <w:uiPriority w:val="0"/>
    <w:rPr>
      <w:rFonts w:ascii="monospace" w:hAnsi="monospace" w:eastAsia="monospace" w:cs="monospace"/>
      <w:sz w:val="21"/>
      <w:szCs w:val="21"/>
    </w:rPr>
  </w:style>
  <w:style w:type="character" w:styleId="29">
    <w:name w:val="HTML Sample"/>
    <w:basedOn w:val="16"/>
    <w:unhideWhenUsed/>
    <w:qFormat/>
    <w:uiPriority w:val="0"/>
    <w:rPr>
      <w:rFonts w:hint="default" w:ascii="monospace" w:hAnsi="monospace" w:eastAsia="monospace" w:cs="monospace"/>
      <w:sz w:val="21"/>
      <w:szCs w:val="21"/>
    </w:rPr>
  </w:style>
  <w:style w:type="character" w:customStyle="1" w:styleId="30">
    <w:name w:val="font51"/>
    <w:qFormat/>
    <w:uiPriority w:val="0"/>
    <w:rPr>
      <w:rFonts w:hint="eastAsia" w:ascii="宋体" w:hAnsi="宋体" w:eastAsia="宋体" w:cs="宋体"/>
      <w:b/>
      <w:color w:val="000000"/>
      <w:sz w:val="21"/>
      <w:szCs w:val="21"/>
      <w:u w:val="none"/>
    </w:rPr>
  </w:style>
  <w:style w:type="character" w:customStyle="1" w:styleId="31">
    <w:name w:val="段 Char"/>
    <w:link w:val="32"/>
    <w:qFormat/>
    <w:uiPriority w:val="0"/>
    <w:rPr>
      <w:rFonts w:ascii="宋体"/>
      <w:sz w:val="21"/>
      <w:lang w:val="en-US" w:eastAsia="zh-CN" w:bidi="ar-SA"/>
    </w:rPr>
  </w:style>
  <w:style w:type="paragraph" w:customStyle="1" w:styleId="32">
    <w:name w:val="段"/>
    <w:link w:val="3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3">
    <w:name w:val="题注 Char"/>
    <w:link w:val="3"/>
    <w:qFormat/>
    <w:uiPriority w:val="35"/>
    <w:rPr>
      <w:rFonts w:ascii="Calibri Light" w:hAnsi="Calibri Light" w:eastAsia="黑体" w:cs="黑体"/>
      <w:kern w:val="2"/>
    </w:rPr>
  </w:style>
  <w:style w:type="character" w:customStyle="1" w:styleId="34">
    <w:name w:val="font31"/>
    <w:qFormat/>
    <w:uiPriority w:val="0"/>
    <w:rPr>
      <w:rFonts w:hint="default" w:ascii="Times New Roman" w:hAnsi="Times New Roman" w:cs="Times New Roman"/>
      <w:b/>
      <w:color w:val="000000"/>
      <w:sz w:val="22"/>
      <w:szCs w:val="22"/>
      <w:u w:val="none"/>
    </w:rPr>
  </w:style>
  <w:style w:type="character" w:customStyle="1" w:styleId="35">
    <w:name w:val="批注文字 Char"/>
    <w:basedOn w:val="16"/>
    <w:link w:val="5"/>
    <w:semiHidden/>
    <w:qFormat/>
    <w:uiPriority w:val="99"/>
  </w:style>
  <w:style w:type="character" w:customStyle="1" w:styleId="36">
    <w:name w:val="标题 1 Char"/>
    <w:link w:val="2"/>
    <w:qFormat/>
    <w:uiPriority w:val="9"/>
    <w:rPr>
      <w:b/>
      <w:bCs/>
      <w:kern w:val="44"/>
      <w:sz w:val="44"/>
      <w:szCs w:val="44"/>
    </w:rPr>
  </w:style>
  <w:style w:type="character" w:customStyle="1" w:styleId="37">
    <w:name w:val="页眉 Char"/>
    <w:link w:val="9"/>
    <w:qFormat/>
    <w:uiPriority w:val="99"/>
    <w:rPr>
      <w:sz w:val="18"/>
      <w:szCs w:val="18"/>
    </w:rPr>
  </w:style>
  <w:style w:type="character" w:customStyle="1" w:styleId="38">
    <w:name w:val="页脚 Char"/>
    <w:link w:val="8"/>
    <w:qFormat/>
    <w:uiPriority w:val="99"/>
    <w:rPr>
      <w:sz w:val="18"/>
      <w:szCs w:val="18"/>
    </w:rPr>
  </w:style>
  <w:style w:type="character" w:customStyle="1" w:styleId="39">
    <w:name w:val="font11"/>
    <w:qFormat/>
    <w:uiPriority w:val="0"/>
    <w:rPr>
      <w:rFonts w:hint="default" w:ascii="Times New Roman" w:hAnsi="Times New Roman" w:cs="Times New Roman"/>
      <w:b/>
      <w:color w:val="000000"/>
      <w:sz w:val="18"/>
      <w:szCs w:val="18"/>
      <w:u w:val="none"/>
    </w:rPr>
  </w:style>
  <w:style w:type="character" w:customStyle="1" w:styleId="40">
    <w:name w:val="批注框文本 Char"/>
    <w:link w:val="7"/>
    <w:semiHidden/>
    <w:qFormat/>
    <w:uiPriority w:val="99"/>
    <w:rPr>
      <w:sz w:val="18"/>
      <w:szCs w:val="18"/>
    </w:rPr>
  </w:style>
  <w:style w:type="character" w:customStyle="1" w:styleId="41">
    <w:name w:val="font21"/>
    <w:qFormat/>
    <w:uiPriority w:val="0"/>
    <w:rPr>
      <w:rFonts w:hint="default" w:ascii="Times New Roman" w:hAnsi="Times New Roman" w:cs="Times New Roman"/>
      <w:b/>
      <w:color w:val="000000"/>
      <w:sz w:val="22"/>
      <w:szCs w:val="22"/>
      <w:u w:val="none"/>
    </w:rPr>
  </w:style>
  <w:style w:type="character" w:customStyle="1" w:styleId="42">
    <w:name w:val="一级标题 Char"/>
    <w:link w:val="43"/>
    <w:qFormat/>
    <w:uiPriority w:val="0"/>
    <w:rPr>
      <w:rFonts w:ascii="黑体" w:eastAsia="黑体"/>
      <w:b/>
      <w:kern w:val="2"/>
      <w:sz w:val="30"/>
      <w:szCs w:val="30"/>
      <w:lang w:val="en-US" w:eastAsia="zh-CN" w:bidi="ar-SA"/>
    </w:rPr>
  </w:style>
  <w:style w:type="paragraph" w:customStyle="1" w:styleId="43">
    <w:name w:val="一级标题"/>
    <w:link w:val="42"/>
    <w:qFormat/>
    <w:uiPriority w:val="0"/>
    <w:pPr>
      <w:outlineLvl w:val="0"/>
    </w:pPr>
    <w:rPr>
      <w:rFonts w:ascii="黑体" w:hAnsi="Times New Roman" w:eastAsia="黑体" w:cs="Times New Roman"/>
      <w:b/>
      <w:kern w:val="2"/>
      <w:sz w:val="30"/>
      <w:szCs w:val="30"/>
      <w:lang w:val="en-US" w:eastAsia="zh-CN" w:bidi="ar-SA"/>
    </w:rPr>
  </w:style>
  <w:style w:type="character" w:customStyle="1" w:styleId="44">
    <w:name w:val="font01"/>
    <w:qFormat/>
    <w:uiPriority w:val="0"/>
    <w:rPr>
      <w:rFonts w:hint="eastAsia" w:ascii="宋体" w:hAnsi="宋体" w:eastAsia="宋体" w:cs="宋体"/>
      <w:b/>
      <w:color w:val="000000"/>
      <w:sz w:val="22"/>
      <w:szCs w:val="22"/>
      <w:u w:val="none"/>
    </w:rPr>
  </w:style>
  <w:style w:type="character" w:customStyle="1" w:styleId="45">
    <w:name w:val="脚注文本 Char"/>
    <w:link w:val="11"/>
    <w:qFormat/>
    <w:uiPriority w:val="0"/>
    <w:rPr>
      <w:rFonts w:ascii="Times New Roman" w:hAnsi="Times New Roman" w:eastAsia="宋体" w:cs="Times New Roman"/>
      <w:sz w:val="18"/>
      <w:szCs w:val="18"/>
    </w:rPr>
  </w:style>
  <w:style w:type="character" w:customStyle="1" w:styleId="46">
    <w:name w:val="批注主题 Char"/>
    <w:link w:val="13"/>
    <w:semiHidden/>
    <w:qFormat/>
    <w:uiPriority w:val="99"/>
    <w:rPr>
      <w:b/>
      <w:bCs/>
    </w:rPr>
  </w:style>
  <w:style w:type="character" w:customStyle="1" w:styleId="47">
    <w:name w:val="正文新 Char"/>
    <w:link w:val="48"/>
    <w:qFormat/>
    <w:uiPriority w:val="0"/>
    <w:rPr>
      <w:rFonts w:ascii="仿宋_GB2312" w:eastAsia="仿宋_GB2312"/>
      <w:kern w:val="2"/>
      <w:sz w:val="28"/>
      <w:szCs w:val="28"/>
      <w:lang w:val="en-US" w:eastAsia="zh-CN" w:bidi="ar-SA"/>
    </w:rPr>
  </w:style>
  <w:style w:type="paragraph" w:customStyle="1" w:styleId="48">
    <w:name w:val="正文新"/>
    <w:link w:val="47"/>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character" w:customStyle="1" w:styleId="49">
    <w:name w:val="font41"/>
    <w:qFormat/>
    <w:uiPriority w:val="0"/>
    <w:rPr>
      <w:rFonts w:hint="default" w:ascii="Times New Roman" w:hAnsi="Times New Roman" w:cs="Times New Roman"/>
      <w:b/>
      <w:color w:val="000000"/>
      <w:sz w:val="22"/>
      <w:szCs w:val="22"/>
      <w:u w:val="none"/>
    </w:rPr>
  </w:style>
  <w:style w:type="paragraph" w:customStyle="1" w:styleId="50">
    <w:name w:val="TOC 标题1"/>
    <w:basedOn w:val="2"/>
    <w:next w:val="1"/>
    <w:unhideWhenUsed/>
    <w:qFormat/>
    <w:uiPriority w:val="39"/>
    <w:pPr>
      <w:widowControl/>
      <w:spacing w:before="480" w:after="0" w:line="276" w:lineRule="auto"/>
      <w:jc w:val="left"/>
      <w:outlineLvl w:val="9"/>
    </w:pPr>
    <w:rPr>
      <w:rFonts w:ascii="Calibri Light" w:hAnsi="Calibri Light"/>
      <w:color w:val="2D73B3"/>
      <w:kern w:val="0"/>
      <w:sz w:val="28"/>
      <w:szCs w:val="28"/>
    </w:rPr>
  </w:style>
  <w:style w:type="character" w:customStyle="1" w:styleId="51">
    <w:name w:val="文档结构图 Char"/>
    <w:basedOn w:val="16"/>
    <w:link w:val="4"/>
    <w:semiHidden/>
    <w:qFormat/>
    <w:uiPriority w:val="0"/>
    <w:rPr>
      <w:rFonts w:ascii="宋体" w:hAnsi="Calibri" w:cs="黑体"/>
      <w:kern w:val="2"/>
      <w:sz w:val="18"/>
      <w:szCs w:val="18"/>
    </w:rPr>
  </w:style>
  <w:style w:type="paragraph" w:customStyle="1" w:styleId="52">
    <w:name w:val="表格中文字"/>
    <w:qFormat/>
    <w:uiPriority w:val="0"/>
    <w:pPr>
      <w:jc w:val="center"/>
    </w:pPr>
    <w:rPr>
      <w:rFonts w:ascii="Times New Roman" w:hAnsi="Times New Roman" w:eastAsia="宋体" w:cs="Times New Roman"/>
      <w:kern w:val="2"/>
      <w:sz w:val="18"/>
      <w:szCs w:val="28"/>
      <w:lang w:val="en-US" w:eastAsia="zh-CN" w:bidi="ar-SA"/>
    </w:rPr>
  </w:style>
  <w:style w:type="character" w:customStyle="1" w:styleId="53">
    <w:name w:val="fontstrikethrough"/>
    <w:basedOn w:val="16"/>
    <w:qFormat/>
    <w:uiPriority w:val="0"/>
    <w:rPr>
      <w:strike/>
    </w:rPr>
  </w:style>
  <w:style w:type="character" w:customStyle="1" w:styleId="54">
    <w:name w:val="fontborder"/>
    <w:basedOn w:val="16"/>
    <w:qFormat/>
    <w:uiPriority w:val="0"/>
    <w:rPr>
      <w:bdr w:val="single" w:color="000000" w:sz="6" w:space="0"/>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表格"/>
    <w:basedOn w:val="1"/>
    <w:qFormat/>
    <w:uiPriority w:val="0"/>
    <w:pPr>
      <w:spacing w:line="240" w:lineRule="auto"/>
      <w:ind w:firstLine="0" w:firstLineChars="0"/>
      <w:jc w:val="center"/>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AEDFC9-8B6D-4459-80BF-CF1653F7513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25</Pages>
  <Words>9588</Words>
  <Characters>10424</Characters>
  <Lines>103</Lines>
  <Paragraphs>29</Paragraphs>
  <TotalTime>2</TotalTime>
  <ScaleCrop>false</ScaleCrop>
  <LinksUpToDate>false</LinksUpToDate>
  <CharactersWithSpaces>10759</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2011-06-18T02:53:00Z</dcterms:created>
  <dc:creator>wxy</dc:creator>
  <cp:lastModifiedBy>小鱼</cp:lastModifiedBy>
  <cp:lastPrinted>2015-08-27T02:12:00Z</cp:lastPrinted>
  <dcterms:modified xsi:type="dcterms:W3CDTF">2022-12-20T06:52:18Z</dcterms:modified>
  <dc:title>梁平县双桂街道安宁村_x000b_现状分析及规划指引报告</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F0CB4360F8544E19B84BFDC84B0C3702</vt:lpwstr>
  </property>
</Properties>
</file>