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300" w:lineRule="exact"/>
        <w:jc w:val="center"/>
      </w:pPr>
      <w:r>
        <w:t xml:space="preserve"> </w:t>
      </w:r>
    </w:p>
    <w:p>
      <w:pPr>
        <w:spacing w:line="300" w:lineRule="exact"/>
        <w:jc w:val="center"/>
      </w:pPr>
      <w:r>
        <w:t xml:space="preserve"> </w:t>
      </w:r>
    </w:p>
    <w:p>
      <w:pPr>
        <w:spacing w:line="594" w:lineRule="exact"/>
        <w:jc w:val="center"/>
      </w:pPr>
      <w:r>
        <w:rPr>
          <w:rFonts w:hint="eastAsia" w:cs="方正仿宋_GBK"/>
        </w:rPr>
        <w:t>梁平规资规发〔</w:t>
      </w:r>
      <w:r>
        <w:t>2020</w:t>
      </w:r>
      <w:r>
        <w:rPr>
          <w:rFonts w:hint="eastAsia" w:cs="方正仿宋_GBK"/>
        </w:rPr>
        <w:t>〕</w:t>
      </w:r>
      <w:r>
        <w:rPr>
          <w:rFonts w:hint="eastAsia"/>
          <w:lang w:val="en-US" w:eastAsia="zh-CN"/>
        </w:rPr>
        <w:t>4</w:t>
      </w:r>
      <w:r>
        <w:rPr>
          <w:rFonts w:hint="eastAsia" w:cs="方正仿宋_GBK"/>
        </w:rPr>
        <w:t>号</w:t>
      </w:r>
    </w:p>
    <w:p>
      <w:pPr>
        <w:spacing w:line="594" w:lineRule="exact"/>
        <w:jc w:val="center"/>
      </w:pPr>
    </w:p>
    <w:p>
      <w:pPr>
        <w:spacing w:line="594" w:lineRule="exact"/>
        <w:jc w:val="center"/>
      </w:pPr>
    </w:p>
    <w:p>
      <w:pPr>
        <w:spacing w:line="594" w:lineRule="exact"/>
        <w:jc w:val="center"/>
        <w:rPr>
          <w:rFonts w:eastAsia="方正小标宋_GBK"/>
          <w:sz w:val="44"/>
          <w:szCs w:val="44"/>
        </w:rPr>
      </w:pPr>
      <w:r>
        <w:rPr>
          <w:rFonts w:hint="eastAsia" w:eastAsia="方正小标宋_GBK" w:cs="方正小标宋_GBK"/>
          <w:sz w:val="44"/>
          <w:szCs w:val="44"/>
        </w:rPr>
        <w:t>重庆市梁平区规划和自然资源局</w:t>
      </w:r>
    </w:p>
    <w:p>
      <w:pPr>
        <w:spacing w:line="594" w:lineRule="exact"/>
        <w:jc w:val="center"/>
        <w:rPr>
          <w:rFonts w:eastAsia="方正小标宋_GBK"/>
          <w:sz w:val="44"/>
          <w:szCs w:val="44"/>
        </w:rPr>
      </w:pPr>
      <w:r>
        <w:rPr>
          <w:rFonts w:hint="eastAsia" w:eastAsia="方正小标宋_GBK" w:cs="方正小标宋_GBK"/>
          <w:sz w:val="44"/>
          <w:szCs w:val="44"/>
        </w:rPr>
        <w:t>关于公布重庆市梁平区土地收益系数的通知</w:t>
      </w:r>
    </w:p>
    <w:p>
      <w:pPr>
        <w:spacing w:line="594" w:lineRule="exact"/>
      </w:pPr>
    </w:p>
    <w:p>
      <w:pPr>
        <w:spacing w:line="594" w:lineRule="exact"/>
      </w:pPr>
      <w:r>
        <w:rPr>
          <w:rFonts w:hint="eastAsia" w:cs="方正仿宋_GBK"/>
        </w:rPr>
        <w:t>各管理所、局属各单位、机关各科室：</w:t>
      </w:r>
    </w:p>
    <w:p>
      <w:pPr>
        <w:spacing w:line="594" w:lineRule="exact"/>
        <w:ind w:firstLine="632" w:firstLineChars="200"/>
      </w:pPr>
      <w:r>
        <w:rPr>
          <w:rFonts w:hint="eastAsia" w:cs="方正仿宋_GBK"/>
        </w:rPr>
        <w:t>为做好地价评估和基准地价实施工作，科学核算政府土地收益，根据《国土资源部办公厅关于完善企业改制土地估价报告备案有关事宜的通知》（国土资厅函〔</w:t>
      </w:r>
      <w:r>
        <w:t>2009</w:t>
      </w:r>
      <w:r>
        <w:rPr>
          <w:rFonts w:hint="eastAsia" w:cs="方正仿宋_GBK"/>
        </w:rPr>
        <w:t>〕</w:t>
      </w:r>
      <w:r>
        <w:t>311</w:t>
      </w:r>
      <w:r>
        <w:rPr>
          <w:rFonts w:hint="eastAsia" w:cs="方正仿宋_GBK"/>
        </w:rPr>
        <w:t>号）和</w:t>
      </w:r>
      <w:r>
        <w:rPr>
          <w:rFonts w:hint="eastAsia" w:cs="方正仿宋_GBK"/>
          <w:color w:val="000000"/>
          <w:kern w:val="0"/>
        </w:rPr>
        <w:t>《重庆市国土房管局关于印发区县（自治县）国有建设用地使用权基准地价平衡调整方案的通知》（渝国土房管〔</w:t>
      </w:r>
      <w:r>
        <w:rPr>
          <w:color w:val="000000"/>
          <w:kern w:val="0"/>
        </w:rPr>
        <w:t>2016</w:t>
      </w:r>
      <w:r>
        <w:rPr>
          <w:rFonts w:hint="eastAsia" w:cs="方正仿宋_GBK"/>
          <w:color w:val="000000"/>
          <w:kern w:val="0"/>
        </w:rPr>
        <w:t>〕</w:t>
      </w:r>
      <w:r>
        <w:rPr>
          <w:color w:val="000000"/>
          <w:kern w:val="0"/>
        </w:rPr>
        <w:t>649</w:t>
      </w:r>
      <w:r>
        <w:rPr>
          <w:rFonts w:hint="eastAsia" w:cs="方正仿宋_GBK"/>
          <w:color w:val="000000"/>
          <w:kern w:val="0"/>
        </w:rPr>
        <w:t>号）</w:t>
      </w:r>
      <w:r>
        <w:rPr>
          <w:color w:val="000000"/>
          <w:kern w:val="0"/>
        </w:rPr>
        <w:t>,</w:t>
      </w:r>
      <w:r>
        <w:rPr>
          <w:rFonts w:hint="eastAsia" w:cs="方正仿宋_GBK"/>
        </w:rPr>
        <w:t>经测算论证，现将重庆市梁平区土地收益系数予以公布。</w:t>
      </w:r>
    </w:p>
    <w:p>
      <w:pPr>
        <w:spacing w:line="594" w:lineRule="exact"/>
        <w:ind w:firstLine="632" w:firstLineChars="200"/>
      </w:pPr>
      <w:r>
        <w:rPr>
          <w:rFonts w:hint="eastAsia" w:cs="方正仿宋_GBK"/>
        </w:rPr>
        <w:t>土地增值收益率是政府应有的土地所有权权益（土地增值收益）占出让土地地价的比例。土地估价报告中确定土地增值收益额应以国土部门公布的土地增值收益率为依据。划拨土地收益系数是划拨土地使用权经批准持划拨性质转让或出租时，土地使用权人按规定应向政府缴纳的划拨土地收益金占出让土地地价的比例。土地使用权人以划拨方式取得土地使用权的房地产转让给其他使用者经依法批准不办理转出让手续，以及以划拨方式取得土地使用权的房地产出租给其他使用者时，应按规定计收划拨土地收益金。</w:t>
      </w:r>
    </w:p>
    <w:p>
      <w:pPr>
        <w:spacing w:line="594" w:lineRule="exact"/>
        <w:ind w:firstLine="632" w:firstLineChars="200"/>
      </w:pPr>
      <w:r>
        <w:rPr>
          <w:rFonts w:hint="eastAsia" w:cs="方正仿宋_GBK"/>
        </w:rPr>
        <w:t>自本文件执行之日起，原梁平区国土资源和房屋管理局《关于公布梁平区土地收益系数的通知》（梁平国土房管规发〔</w:t>
      </w:r>
      <w:r>
        <w:t>2017</w:t>
      </w:r>
      <w:r>
        <w:rPr>
          <w:rFonts w:hint="eastAsia" w:cs="方正仿宋_GBK"/>
        </w:rPr>
        <w:t>〕</w:t>
      </w:r>
      <w:r>
        <w:t>1</w:t>
      </w:r>
      <w:r>
        <w:rPr>
          <w:rFonts w:hint="eastAsia" w:cs="方正仿宋_GBK"/>
        </w:rPr>
        <w:t>号）同时废止。</w:t>
      </w:r>
    </w:p>
    <w:p>
      <w:pPr>
        <w:spacing w:line="594" w:lineRule="exact"/>
        <w:ind w:firstLine="632" w:firstLineChars="200"/>
      </w:pPr>
    </w:p>
    <w:p>
      <w:pPr>
        <w:spacing w:line="594" w:lineRule="exact"/>
        <w:ind w:firstLine="632" w:firstLineChars="200"/>
      </w:pPr>
      <w:r>
        <w:rPr>
          <w:rFonts w:hint="eastAsia" w:cs="方正仿宋_GBK"/>
        </w:rPr>
        <w:t>附件：重庆市梁平区土地收益系数</w:t>
      </w:r>
    </w:p>
    <w:p>
      <w:pPr>
        <w:spacing w:line="594" w:lineRule="exact"/>
        <w:ind w:firstLine="3950" w:firstLineChars="1250"/>
      </w:pPr>
    </w:p>
    <w:p>
      <w:pPr>
        <w:spacing w:line="594" w:lineRule="exact"/>
        <w:ind w:firstLine="3950" w:firstLineChars="1250"/>
      </w:pPr>
    </w:p>
    <w:p>
      <w:pPr>
        <w:spacing w:line="594" w:lineRule="exact"/>
        <w:ind w:firstLine="3950" w:firstLineChars="1250"/>
      </w:pPr>
    </w:p>
    <w:p>
      <w:pPr>
        <w:tabs>
          <w:tab w:val="left" w:pos="8216"/>
        </w:tabs>
        <w:spacing w:line="594" w:lineRule="exact"/>
        <w:ind w:firstLine="3745" w:firstLineChars="1185"/>
      </w:pPr>
      <w:r>
        <w:rPr>
          <w:rFonts w:hint="eastAsia" w:cs="方正仿宋_GBK"/>
        </w:rPr>
        <w:t>重庆市梁平区规划和自然资源局</w:t>
      </w:r>
    </w:p>
    <w:p>
      <w:pPr>
        <w:spacing w:line="594" w:lineRule="exact"/>
      </w:pPr>
      <w:r>
        <w:t xml:space="preserve">                             2020</w:t>
      </w:r>
      <w:r>
        <w:rPr>
          <w:rFonts w:hint="eastAsia" w:cs="方正仿宋_GBK"/>
        </w:rPr>
        <w:t>年</w:t>
      </w:r>
      <w:r>
        <w:rPr>
          <w:rFonts w:hint="eastAsia"/>
          <w:lang w:val="en-US" w:eastAsia="zh-CN"/>
        </w:rPr>
        <w:t>10</w:t>
      </w:r>
      <w:r>
        <w:rPr>
          <w:rFonts w:hint="eastAsia" w:cs="方正仿宋_GBK"/>
        </w:rPr>
        <w:t>月</w:t>
      </w:r>
      <w:r>
        <w:rPr>
          <w:rFonts w:hint="eastAsia"/>
          <w:lang w:val="en-US" w:eastAsia="zh-CN"/>
        </w:rPr>
        <w:t>29</w:t>
      </w:r>
      <w:r>
        <w:rPr>
          <w:rFonts w:hint="eastAsia" w:cs="方正仿宋_GBK"/>
        </w:rPr>
        <w:t>日</w:t>
      </w:r>
    </w:p>
    <w:p>
      <w:pPr>
        <w:spacing w:line="594" w:lineRule="exact"/>
      </w:pPr>
    </w:p>
    <w:p>
      <w:pPr>
        <w:spacing w:line="594" w:lineRule="exact"/>
      </w:pPr>
    </w:p>
    <w:p>
      <w:pPr>
        <w:spacing w:line="594" w:lineRule="exact"/>
      </w:pPr>
    </w:p>
    <w:p>
      <w:pPr>
        <w:spacing w:line="594" w:lineRule="exact"/>
      </w:pPr>
    </w:p>
    <w:p>
      <w:pPr>
        <w:spacing w:line="594" w:lineRule="exact"/>
        <w:rPr>
          <w:rFonts w:ascii="方正黑体_GBK" w:hAnsi="方正黑体_GBK" w:eastAsia="方正黑体_GBK"/>
        </w:rPr>
      </w:pPr>
      <w:r>
        <w:rPr>
          <w:rFonts w:hint="eastAsia" w:ascii="方正黑体_GBK" w:hAnsi="方正黑体_GBK" w:eastAsia="方正黑体_GBK" w:cs="方正黑体_GBK"/>
        </w:rPr>
        <w:t>附件</w:t>
      </w:r>
    </w:p>
    <w:p>
      <w:pPr>
        <w:spacing w:line="594" w:lineRule="exact"/>
        <w:jc w:val="center"/>
        <w:rPr>
          <w:rFonts w:eastAsia="方正小标宋_GBK"/>
          <w:sz w:val="44"/>
          <w:szCs w:val="44"/>
        </w:rPr>
      </w:pPr>
      <w:r>
        <w:rPr>
          <w:rFonts w:hint="eastAsia" w:eastAsia="方正小标宋_GBK" w:cs="方正小标宋_GBK"/>
          <w:sz w:val="44"/>
          <w:szCs w:val="44"/>
        </w:rPr>
        <w:t>重庆市梁平区土地收益系数</w:t>
      </w:r>
    </w:p>
    <w:p>
      <w:pPr>
        <w:spacing w:line="594" w:lineRule="exact"/>
        <w:jc w:val="center"/>
        <w:outlineLvl w:val="0"/>
        <w:rPr>
          <w:b/>
          <w:bCs/>
          <w:sz w:val="24"/>
          <w:szCs w:val="24"/>
        </w:rPr>
      </w:pPr>
    </w:p>
    <w:tbl>
      <w:tblPr>
        <w:tblStyle w:val="6"/>
        <w:tblW w:w="4596" w:type="pct"/>
        <w:jc w:val="center"/>
        <w:tblLayout w:type="autofit"/>
        <w:tblCellMar>
          <w:top w:w="0" w:type="dxa"/>
          <w:left w:w="108" w:type="dxa"/>
          <w:bottom w:w="0" w:type="dxa"/>
          <w:right w:w="108" w:type="dxa"/>
        </w:tblCellMar>
      </w:tblPr>
      <w:tblGrid>
        <w:gridCol w:w="2797"/>
        <w:gridCol w:w="1422"/>
        <w:gridCol w:w="1264"/>
        <w:gridCol w:w="1578"/>
        <w:gridCol w:w="1423"/>
      </w:tblGrid>
      <w:tr>
        <w:tblPrEx>
          <w:tblCellMar>
            <w:top w:w="0" w:type="dxa"/>
            <w:left w:w="108" w:type="dxa"/>
            <w:bottom w:w="0" w:type="dxa"/>
            <w:right w:w="108" w:type="dxa"/>
          </w:tblCellMar>
        </w:tblPrEx>
        <w:trPr>
          <w:trHeight w:val="750" w:hRule="atLeast"/>
          <w:jc w:val="center"/>
        </w:trPr>
        <w:tc>
          <w:tcPr>
            <w:tcW w:w="1648" w:type="pct"/>
            <w:tcBorders>
              <w:top w:val="single" w:color="auto" w:sz="4" w:space="0"/>
              <w:left w:val="single" w:color="auto" w:sz="4" w:space="0"/>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bookmarkStart w:id="0" w:name="OLE_LINK1"/>
            <w:r>
              <w:rPr>
                <w:rFonts w:hint="eastAsia" w:eastAsia="仿宋_GB2312" w:cs="仿宋_GB2312"/>
                <w:color w:val="000000"/>
                <w:kern w:val="0"/>
                <w:sz w:val="28"/>
                <w:szCs w:val="28"/>
              </w:rPr>
              <w:t>类型</w:t>
            </w:r>
          </w:p>
        </w:tc>
        <w:tc>
          <w:tcPr>
            <w:tcW w:w="838" w:type="pct"/>
            <w:tcBorders>
              <w:top w:val="single" w:color="auto" w:sz="4" w:space="0"/>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hint="eastAsia" w:eastAsia="仿宋_GB2312" w:cs="仿宋_GB2312"/>
                <w:color w:val="000000"/>
                <w:kern w:val="0"/>
                <w:sz w:val="28"/>
                <w:szCs w:val="28"/>
              </w:rPr>
              <w:t>商业</w:t>
            </w:r>
          </w:p>
        </w:tc>
        <w:tc>
          <w:tcPr>
            <w:tcW w:w="745" w:type="pct"/>
            <w:tcBorders>
              <w:top w:val="single" w:color="auto" w:sz="4" w:space="0"/>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hint="eastAsia" w:eastAsia="仿宋_GB2312" w:cs="仿宋_GB2312"/>
                <w:color w:val="000000"/>
                <w:kern w:val="0"/>
                <w:sz w:val="28"/>
                <w:szCs w:val="28"/>
              </w:rPr>
              <w:t>办公</w:t>
            </w:r>
          </w:p>
        </w:tc>
        <w:tc>
          <w:tcPr>
            <w:tcW w:w="930" w:type="pct"/>
            <w:tcBorders>
              <w:top w:val="single" w:color="auto" w:sz="4" w:space="0"/>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hint="eastAsia" w:eastAsia="仿宋_GB2312" w:cs="仿宋_GB2312"/>
                <w:color w:val="000000"/>
                <w:kern w:val="0"/>
                <w:sz w:val="28"/>
                <w:szCs w:val="28"/>
              </w:rPr>
              <w:t>住宅</w:t>
            </w:r>
          </w:p>
        </w:tc>
        <w:tc>
          <w:tcPr>
            <w:tcW w:w="838" w:type="pct"/>
            <w:tcBorders>
              <w:top w:val="single" w:color="auto" w:sz="4" w:space="0"/>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hint="eastAsia" w:eastAsia="仿宋_GB2312" w:cs="仿宋_GB2312"/>
                <w:color w:val="000000"/>
                <w:kern w:val="0"/>
                <w:sz w:val="28"/>
                <w:szCs w:val="28"/>
              </w:rPr>
              <w:t>工业</w:t>
            </w:r>
          </w:p>
        </w:tc>
      </w:tr>
      <w:tr>
        <w:tblPrEx>
          <w:tblCellMar>
            <w:top w:w="0" w:type="dxa"/>
            <w:left w:w="108" w:type="dxa"/>
            <w:bottom w:w="0" w:type="dxa"/>
            <w:right w:w="108" w:type="dxa"/>
          </w:tblCellMar>
        </w:tblPrEx>
        <w:trPr>
          <w:trHeight w:val="750" w:hRule="atLeast"/>
          <w:jc w:val="center"/>
        </w:trPr>
        <w:tc>
          <w:tcPr>
            <w:tcW w:w="1648" w:type="pct"/>
            <w:tcBorders>
              <w:top w:val="nil"/>
              <w:left w:val="single" w:color="auto" w:sz="4" w:space="0"/>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hint="eastAsia" w:eastAsia="仿宋_GB2312" w:cs="仿宋_GB2312"/>
                <w:color w:val="000000"/>
                <w:kern w:val="0"/>
                <w:sz w:val="28"/>
                <w:szCs w:val="28"/>
              </w:rPr>
              <w:t>土地增值收益率</w:t>
            </w:r>
          </w:p>
        </w:tc>
        <w:tc>
          <w:tcPr>
            <w:tcW w:w="838"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30%</w:t>
            </w:r>
          </w:p>
        </w:tc>
        <w:tc>
          <w:tcPr>
            <w:tcW w:w="745"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30%</w:t>
            </w:r>
          </w:p>
        </w:tc>
        <w:tc>
          <w:tcPr>
            <w:tcW w:w="930"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35%</w:t>
            </w:r>
          </w:p>
        </w:tc>
        <w:tc>
          <w:tcPr>
            <w:tcW w:w="838"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20%</w:t>
            </w:r>
          </w:p>
        </w:tc>
      </w:tr>
      <w:tr>
        <w:tblPrEx>
          <w:tblCellMar>
            <w:top w:w="0" w:type="dxa"/>
            <w:left w:w="108" w:type="dxa"/>
            <w:bottom w:w="0" w:type="dxa"/>
            <w:right w:w="108" w:type="dxa"/>
          </w:tblCellMar>
        </w:tblPrEx>
        <w:trPr>
          <w:trHeight w:val="930" w:hRule="atLeast"/>
          <w:jc w:val="center"/>
        </w:trPr>
        <w:tc>
          <w:tcPr>
            <w:tcW w:w="1648" w:type="pct"/>
            <w:tcBorders>
              <w:top w:val="nil"/>
              <w:left w:val="single" w:color="auto" w:sz="4" w:space="0"/>
              <w:bottom w:val="single" w:color="auto" w:sz="4" w:space="0"/>
              <w:right w:val="single" w:color="auto" w:sz="4" w:space="0"/>
            </w:tcBorders>
            <w:vAlign w:val="center"/>
          </w:tcPr>
          <w:p>
            <w:pPr>
              <w:widowControl/>
              <w:spacing w:line="594" w:lineRule="exact"/>
              <w:jc w:val="center"/>
              <w:rPr>
                <w:rFonts w:eastAsia="仿宋_GB2312"/>
                <w:kern w:val="0"/>
                <w:sz w:val="28"/>
                <w:szCs w:val="28"/>
              </w:rPr>
            </w:pPr>
            <w:r>
              <w:rPr>
                <w:rFonts w:hint="eastAsia" w:eastAsia="仿宋_GB2312" w:cs="仿宋_GB2312"/>
                <w:kern w:val="0"/>
                <w:sz w:val="28"/>
                <w:szCs w:val="28"/>
              </w:rPr>
              <w:t>划拨土地收益</w:t>
            </w:r>
            <w:r>
              <w:rPr>
                <w:rFonts w:hint="eastAsia" w:eastAsia="仿宋_GB2312" w:cs="仿宋_GB2312"/>
                <w:color w:val="000000"/>
                <w:kern w:val="0"/>
                <w:sz w:val="28"/>
                <w:szCs w:val="28"/>
              </w:rPr>
              <w:t>系数</w:t>
            </w:r>
          </w:p>
        </w:tc>
        <w:tc>
          <w:tcPr>
            <w:tcW w:w="838"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5%</w:t>
            </w:r>
          </w:p>
        </w:tc>
        <w:tc>
          <w:tcPr>
            <w:tcW w:w="745"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5%</w:t>
            </w:r>
          </w:p>
        </w:tc>
        <w:tc>
          <w:tcPr>
            <w:tcW w:w="930"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6%</w:t>
            </w:r>
          </w:p>
        </w:tc>
        <w:tc>
          <w:tcPr>
            <w:tcW w:w="838" w:type="pct"/>
            <w:tcBorders>
              <w:top w:val="nil"/>
              <w:left w:val="nil"/>
              <w:bottom w:val="single" w:color="auto" w:sz="4" w:space="0"/>
              <w:right w:val="single" w:color="auto" w:sz="4" w:space="0"/>
            </w:tcBorders>
            <w:vAlign w:val="center"/>
          </w:tcPr>
          <w:p>
            <w:pPr>
              <w:widowControl/>
              <w:spacing w:line="594" w:lineRule="exact"/>
              <w:jc w:val="center"/>
              <w:rPr>
                <w:rFonts w:eastAsia="仿宋_GB2312"/>
                <w:color w:val="000000"/>
                <w:kern w:val="0"/>
                <w:sz w:val="28"/>
                <w:szCs w:val="28"/>
              </w:rPr>
            </w:pPr>
            <w:r>
              <w:rPr>
                <w:rFonts w:eastAsia="仿宋_GB2312"/>
                <w:color w:val="000000"/>
                <w:kern w:val="0"/>
                <w:sz w:val="28"/>
                <w:szCs w:val="28"/>
              </w:rPr>
              <w:t>3%</w:t>
            </w:r>
          </w:p>
        </w:tc>
      </w:tr>
      <w:bookmarkEnd w:id="0"/>
    </w:tbl>
    <w:p>
      <w:pPr>
        <w:spacing w:line="594" w:lineRule="exact"/>
        <w:jc w:val="center"/>
        <w:outlineLvl w:val="0"/>
        <w:rPr>
          <w:b/>
          <w:bCs/>
          <w:sz w:val="24"/>
          <w:szCs w:val="24"/>
        </w:rPr>
      </w:pPr>
    </w:p>
    <w:p>
      <w:pPr>
        <w:spacing w:line="594" w:lineRule="exact"/>
      </w:pPr>
    </w:p>
    <w:p>
      <w:pPr>
        <w:spacing w:line="594" w:lineRule="exact"/>
      </w:pPr>
    </w:p>
    <w:p>
      <w:pPr>
        <w:spacing w:line="594" w:lineRule="exact"/>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p>
    <w:p>
      <w:pPr>
        <w:pBdr>
          <w:bottom w:val="single" w:color="auto" w:sz="6" w:space="1"/>
        </w:pBdr>
        <w:rPr>
          <w:rFonts w:ascii="方正仿宋_GBK"/>
        </w:rPr>
      </w:pPr>
      <w:bookmarkStart w:id="1" w:name="_GoBack"/>
      <w:bookmarkEnd w:id="1"/>
    </w:p>
    <w:p>
      <w:pPr>
        <w:ind w:firstLine="276" w:firstLineChars="100"/>
        <w:rPr>
          <w:sz w:val="28"/>
          <w:szCs w:val="28"/>
        </w:rPr>
      </w:pPr>
      <w:r>
        <w:rPr>
          <w:rFonts w:hint="eastAsia" w:cs="方正仿宋_GBK"/>
          <w:sz w:val="28"/>
          <w:szCs w:val="28"/>
        </w:rPr>
        <w:t>抄送：各乡镇人民政府（街道办事处），各区级相关部门和单位。</w:t>
      </w:r>
    </w:p>
    <w:p>
      <w:pPr>
        <w:pBdr>
          <w:top w:val="single" w:color="auto" w:sz="6" w:space="1"/>
          <w:bottom w:val="single" w:color="auto" w:sz="6" w:space="1"/>
        </w:pBdr>
        <w:rPr>
          <w:sz w:val="28"/>
          <w:szCs w:val="28"/>
        </w:rPr>
      </w:pPr>
      <w:r>
        <w:rPr>
          <w:sz w:val="28"/>
          <w:szCs w:val="28"/>
        </w:rPr>
        <w:t xml:space="preserve"> </w:t>
      </w:r>
      <w:r>
        <w:rPr>
          <w:rFonts w:hint="eastAsia" w:cs="方正仿宋_GBK"/>
          <w:sz w:val="28"/>
          <w:szCs w:val="28"/>
        </w:rPr>
        <w:t>重庆市梁平区规划自然资源局办公室</w:t>
      </w:r>
      <w:r>
        <w:rPr>
          <w:sz w:val="28"/>
          <w:szCs w:val="28"/>
        </w:rPr>
        <w:tab/>
      </w:r>
      <w:r>
        <w:rPr>
          <w:sz w:val="28"/>
          <w:szCs w:val="28"/>
        </w:rPr>
        <w:tab/>
      </w:r>
      <w:r>
        <w:rPr>
          <w:sz w:val="28"/>
          <w:szCs w:val="28"/>
        </w:rPr>
        <w:t xml:space="preserve">       2020</w:t>
      </w:r>
      <w:r>
        <w:rPr>
          <w:rFonts w:hint="eastAsia" w:cs="方正仿宋_GBK"/>
          <w:sz w:val="28"/>
          <w:szCs w:val="28"/>
        </w:rPr>
        <w:t>年</w:t>
      </w:r>
      <w:r>
        <w:rPr>
          <w:rFonts w:hint="eastAsia"/>
          <w:sz w:val="28"/>
          <w:szCs w:val="28"/>
          <w:lang w:val="en-US" w:eastAsia="zh-CN"/>
        </w:rPr>
        <w:t>10</w:t>
      </w:r>
      <w:r>
        <w:rPr>
          <w:rFonts w:hint="eastAsia" w:cs="方正仿宋_GBK"/>
          <w:sz w:val="28"/>
          <w:szCs w:val="28"/>
        </w:rPr>
        <w:t>月</w:t>
      </w:r>
      <w:r>
        <w:rPr>
          <w:rFonts w:hint="eastAsia"/>
          <w:sz w:val="28"/>
          <w:szCs w:val="28"/>
          <w:lang w:val="en-US" w:eastAsia="zh-CN"/>
        </w:rPr>
        <w:t>29</w:t>
      </w:r>
      <w:r>
        <w:rPr>
          <w:rFonts w:hint="eastAsia" w:cs="方正仿宋_GBK"/>
          <w:sz w:val="28"/>
          <w:szCs w:val="28"/>
        </w:rPr>
        <w:t>日印发</w:t>
      </w:r>
    </w:p>
    <w:sectPr>
      <w:headerReference r:id="rId3" w:type="default"/>
      <w:footerReference r:id="rId4" w:type="default"/>
      <w:pgSz w:w="11906" w:h="16838"/>
      <w:pgMar w:top="1984" w:right="1446" w:bottom="1644" w:left="1446" w:header="851" w:footer="1474" w:gutter="0"/>
      <w:pgNumType w:fmt="numberInDash"/>
      <w:cols w:space="0" w:num="1"/>
      <w:titlePg/>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eastAsia="宋体" w:cs="Times New Roman"/>
        <w:sz w:val="28"/>
        <w:szCs w:val="28"/>
      </w:rPr>
    </w:pP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PAGE  </w:instrText>
    </w:r>
    <w:r>
      <w:rPr>
        <w:rStyle w:val="8"/>
        <w:rFonts w:ascii="宋体" w:hAnsi="宋体" w:eastAsia="宋体" w:cs="宋体"/>
        <w:sz w:val="28"/>
        <w:szCs w:val="28"/>
      </w:rPr>
      <w:fldChar w:fldCharType="separate"/>
    </w:r>
    <w:r>
      <w:rPr>
        <w:rStyle w:val="8"/>
        <w:rFonts w:ascii="宋体" w:hAnsi="宋体" w:eastAsia="宋体" w:cs="宋体"/>
        <w:sz w:val="28"/>
        <w:szCs w:val="28"/>
      </w:rPr>
      <w:t>- 4 -</w:t>
    </w:r>
    <w:r>
      <w:rPr>
        <w:rStyle w:val="8"/>
        <w:rFonts w:ascii="宋体" w:hAnsi="宋体" w:eastAsia="宋体" w:cs="宋体"/>
        <w:sz w:val="28"/>
        <w:szCs w:val="28"/>
      </w:rPr>
      <w:fldChar w:fldCharType="end"/>
    </w:r>
  </w:p>
  <w:p>
    <w:pPr>
      <w:pStyle w:val="4"/>
      <w:framePr w:wrap="around" w:vAnchor="text" w:hAnchor="margin" w:xAlign="outside" w:y="1"/>
      <w:ind w:right="360" w:firstLine="360"/>
      <w:rPr>
        <w:rStyle w:val="8"/>
        <w:rFonts w:ascii="宋体" w:hAnsi="宋体" w:eastAsia="宋体" w:cs="Times New Roman"/>
        <w:sz w:val="28"/>
        <w:szCs w:val="28"/>
      </w:rPr>
    </w:pPr>
  </w:p>
  <w:p>
    <w:pPr>
      <w:pStyle w:val="4"/>
      <w:ind w:right="360" w:firstLine="360"/>
      <w:rPr>
        <w:rFonts w:ascii="宋体" w:hAnsi="宋体" w:eastAsia="宋体" w:cs="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337"/>
    <w:rsid w:val="0004320F"/>
    <w:rsid w:val="00055E62"/>
    <w:rsid w:val="00071C70"/>
    <w:rsid w:val="00151879"/>
    <w:rsid w:val="00152646"/>
    <w:rsid w:val="00165C22"/>
    <w:rsid w:val="00196DAE"/>
    <w:rsid w:val="00197DFF"/>
    <w:rsid w:val="002011AB"/>
    <w:rsid w:val="002078A3"/>
    <w:rsid w:val="00213F55"/>
    <w:rsid w:val="0022114E"/>
    <w:rsid w:val="00226C90"/>
    <w:rsid w:val="003A7975"/>
    <w:rsid w:val="003E1831"/>
    <w:rsid w:val="004313CE"/>
    <w:rsid w:val="00434835"/>
    <w:rsid w:val="0043645D"/>
    <w:rsid w:val="00494D32"/>
    <w:rsid w:val="0054679D"/>
    <w:rsid w:val="005526BC"/>
    <w:rsid w:val="005573CF"/>
    <w:rsid w:val="005A1809"/>
    <w:rsid w:val="005A7130"/>
    <w:rsid w:val="00625122"/>
    <w:rsid w:val="00633FAF"/>
    <w:rsid w:val="006F2363"/>
    <w:rsid w:val="007F78BC"/>
    <w:rsid w:val="00836FCE"/>
    <w:rsid w:val="00867C08"/>
    <w:rsid w:val="008E6962"/>
    <w:rsid w:val="00993781"/>
    <w:rsid w:val="00A3246E"/>
    <w:rsid w:val="00A42749"/>
    <w:rsid w:val="00A62337"/>
    <w:rsid w:val="00A80BEA"/>
    <w:rsid w:val="00B608CC"/>
    <w:rsid w:val="00BD5915"/>
    <w:rsid w:val="00C20ABD"/>
    <w:rsid w:val="00C26172"/>
    <w:rsid w:val="00C778A3"/>
    <w:rsid w:val="00CD088C"/>
    <w:rsid w:val="00CF1A33"/>
    <w:rsid w:val="00D5336F"/>
    <w:rsid w:val="00DC6F76"/>
    <w:rsid w:val="00DC71C5"/>
    <w:rsid w:val="00E0114F"/>
    <w:rsid w:val="00EF3F2A"/>
    <w:rsid w:val="00F053CD"/>
    <w:rsid w:val="00F31992"/>
    <w:rsid w:val="00F34376"/>
    <w:rsid w:val="00FA14DF"/>
    <w:rsid w:val="00FC0FA8"/>
    <w:rsid w:val="00FC313D"/>
    <w:rsid w:val="00FE2F2C"/>
    <w:rsid w:val="1BDF0BBF"/>
    <w:rsid w:val="2A5F37A6"/>
    <w:rsid w:val="3A4912D0"/>
    <w:rsid w:val="3B1B2940"/>
    <w:rsid w:val="41917862"/>
    <w:rsid w:val="50DE4EEE"/>
    <w:rsid w:val="6B22077C"/>
    <w:rsid w:val="79F471B1"/>
    <w:rsid w:val="7E4A07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rPr>
      <w:rFonts w:ascii="Calibri" w:hAnsi="Calibri" w:eastAsia="宋体" w:cs="Calibri"/>
      <w:kern w:val="0"/>
      <w:sz w:val="20"/>
      <w:szCs w:val="20"/>
    </w:rPr>
  </w:style>
  <w:style w:type="paragraph" w:styleId="3">
    <w:name w:val="Balloon Text"/>
    <w:basedOn w:val="1"/>
    <w:link w:val="10"/>
    <w:semiHidden/>
    <w:qFormat/>
    <w:uiPriority w:val="99"/>
    <w:rPr>
      <w:rFonts w:ascii="Calibri" w:hAnsi="Calibri" w:cs="Calibri"/>
      <w:sz w:val="18"/>
      <w:szCs w:val="18"/>
    </w:rPr>
  </w:style>
  <w:style w:type="paragraph" w:styleId="4">
    <w:name w:val="footer"/>
    <w:basedOn w:val="1"/>
    <w:link w:val="11"/>
    <w:qFormat/>
    <w:uiPriority w:val="99"/>
    <w:pPr>
      <w:tabs>
        <w:tab w:val="center" w:pos="4153"/>
        <w:tab w:val="right" w:pos="8306"/>
      </w:tabs>
      <w:snapToGrid w:val="0"/>
      <w:jc w:val="left"/>
    </w:pPr>
    <w:rPr>
      <w:rFonts w:ascii="Calibri" w:hAnsi="Calibri" w:cs="Calibri"/>
      <w:kern w:val="0"/>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character" w:styleId="8">
    <w:name w:val="page number"/>
    <w:basedOn w:val="7"/>
    <w:qFormat/>
    <w:uiPriority w:val="99"/>
  </w:style>
  <w:style w:type="character" w:customStyle="1" w:styleId="9">
    <w:name w:val="Date Char"/>
    <w:basedOn w:val="7"/>
    <w:link w:val="2"/>
    <w:semiHidden/>
    <w:qFormat/>
    <w:locked/>
    <w:uiPriority w:val="99"/>
  </w:style>
  <w:style w:type="character" w:customStyle="1" w:styleId="10">
    <w:name w:val="Balloon Text Char"/>
    <w:basedOn w:val="7"/>
    <w:link w:val="3"/>
    <w:semiHidden/>
    <w:qFormat/>
    <w:locked/>
    <w:uiPriority w:val="99"/>
    <w:rPr>
      <w:rFonts w:eastAsia="方正仿宋_GBK"/>
      <w:kern w:val="2"/>
      <w:sz w:val="18"/>
      <w:szCs w:val="18"/>
    </w:rPr>
  </w:style>
  <w:style w:type="character" w:customStyle="1" w:styleId="11">
    <w:name w:val="Footer Char"/>
    <w:basedOn w:val="7"/>
    <w:link w:val="4"/>
    <w:semiHidden/>
    <w:qFormat/>
    <w:locked/>
    <w:uiPriority w:val="99"/>
    <w:rPr>
      <w:rFonts w:eastAsia="方正仿宋_GBK"/>
      <w:sz w:val="18"/>
      <w:szCs w:val="18"/>
    </w:rPr>
  </w:style>
  <w:style w:type="character" w:customStyle="1" w:styleId="12">
    <w:name w:val="Header Char"/>
    <w:basedOn w:val="7"/>
    <w:link w:val="5"/>
    <w:semiHidden/>
    <w:qFormat/>
    <w:locked/>
    <w:uiPriority w:val="99"/>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121</Words>
  <Characters>691</Characters>
  <Lines>0</Lines>
  <Paragraphs>0</Paragraphs>
  <TotalTime>162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2016-09-06T07:23:00Z</dcterms:created>
  <dc:creator>user</dc:creator>
  <cp:lastModifiedBy>╰つLつ Y</cp:lastModifiedBy>
  <cp:lastPrinted>2020-06-02T03:43:00Z</cp:lastPrinted>
  <dcterms:modified xsi:type="dcterms:W3CDTF">2021-12-10T02:27:33Z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945818143_btnclosed</vt:lpwstr>
  </property>
</Properties>
</file>