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pacing w:val="0"/>
          <w:sz w:val="32"/>
          <w:szCs w:val="32"/>
        </w:rPr>
      </w:pPr>
      <w:r>
        <w:rPr>
          <w:rFonts w:ascii="方正仿宋_GBK" w:eastAsia="方正仿宋_GBK"/>
          <w:spacing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方正小标宋_GBK" w:hAnsi="方正仿宋_GBK" w:eastAsia="方正小标宋_GBK" w:cs="方正仿宋_GBK"/>
          <w:color w:val="000000"/>
          <w:spacing w:val="0"/>
          <w:sz w:val="44"/>
          <w:szCs w:val="44"/>
          <w:shd w:val="clear" w:color="auto" w:fill="FFFFFF"/>
        </w:rPr>
      </w:pPr>
      <w:r>
        <w:rPr>
          <w:rFonts w:ascii="方正小标宋_GBK" w:hAnsi="方正仿宋_GBK" w:eastAsia="方正小标宋_GBK" w:cs="方正仿宋_GBK"/>
          <w:color w:val="000000"/>
          <w:spacing w:val="0"/>
          <w:sz w:val="44"/>
          <w:szCs w:val="44"/>
          <w:shd w:val="clear" w:color="auto" w:fill="FFFFFF"/>
        </w:rPr>
        <w:t>重庆市梁平区养老服务中心</w:t>
      </w:r>
    </w:p>
    <w:p>
      <w:pPr>
        <w:spacing w:line="600" w:lineRule="exact"/>
        <w:jc w:val="center"/>
        <w:rPr>
          <w:rFonts w:ascii="方正小标宋_GBK" w:hAnsi="方正仿宋_GBK" w:eastAsia="方正小标宋_GBK" w:cs="方正仿宋_GBK"/>
          <w:color w:val="000000"/>
          <w:spacing w:val="0"/>
          <w:sz w:val="44"/>
          <w:szCs w:val="44"/>
          <w:shd w:val="clear" w:color="auto" w:fill="FFFFFF"/>
        </w:rPr>
      </w:pPr>
      <w:r>
        <w:rPr>
          <w:rFonts w:ascii="方正小标宋_GBK" w:hAnsi="Times New Roman" w:eastAsia="方正小标宋_GBK"/>
          <w:color w:val="000000"/>
          <w:spacing w:val="0"/>
          <w:sz w:val="44"/>
          <w:szCs w:val="44"/>
          <w:shd w:val="clear" w:color="auto" w:fill="FFFFFF"/>
        </w:rPr>
        <w:t>2021</w:t>
      </w:r>
      <w:r>
        <w:rPr>
          <w:rFonts w:ascii="方正小标宋_GBK" w:hAnsi="方正仿宋_GBK" w:eastAsia="方正小标宋_GBK" w:cs="方正仿宋_GBK"/>
          <w:color w:val="000000"/>
          <w:spacing w:val="0"/>
          <w:sz w:val="44"/>
          <w:szCs w:val="44"/>
          <w:shd w:val="clear" w:color="auto" w:fill="FFFFFF"/>
        </w:rPr>
        <w:t>年度其他民政管理事务专项资金</w:t>
      </w:r>
    </w:p>
    <w:p>
      <w:pPr>
        <w:spacing w:line="600" w:lineRule="exact"/>
        <w:jc w:val="center"/>
        <w:rPr>
          <w:rFonts w:ascii="方正小标宋_GBK" w:hAnsi="微软雅黑" w:eastAsia="方正小标宋_GBK"/>
          <w:color w:val="333333"/>
          <w:spacing w:val="0"/>
          <w:sz w:val="44"/>
          <w:szCs w:val="44"/>
          <w:shd w:val="clear" w:color="auto" w:fill="FFFFFF"/>
        </w:rPr>
      </w:pPr>
      <w:r>
        <w:rPr>
          <w:rFonts w:ascii="方正小标宋_GBK" w:hAnsi="方正仿宋_GBK" w:eastAsia="方正小标宋_GBK" w:cs="方正仿宋_GBK"/>
          <w:color w:val="000000"/>
          <w:spacing w:val="0"/>
          <w:sz w:val="44"/>
          <w:szCs w:val="44"/>
          <w:shd w:val="clear" w:color="auto" w:fill="FFFFFF"/>
        </w:rPr>
        <w:t>绩效自评报告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黑体_GBK" w:hAnsi="方正黑体_GBK" w:eastAsia="方正黑体_GBK" w:cs="方正黑体_GBK"/>
          <w:color w:val="000000"/>
          <w:spacing w:val="0"/>
          <w:kern w:val="2"/>
          <w:sz w:val="32"/>
          <w:szCs w:val="32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方正黑体_GBK" w:hAnsi="方正黑体_GBK" w:eastAsia="方正黑体_GBK" w:cs="方正黑体_GBK"/>
          <w:color w:val="000000"/>
          <w:spacing w:val="0"/>
          <w:kern w:val="2"/>
          <w:sz w:val="32"/>
          <w:szCs w:val="32"/>
        </w:rPr>
      </w:pPr>
      <w:r>
        <w:rPr>
          <w:rFonts w:ascii="方正黑体_GBK" w:hAnsi="方正黑体_GBK" w:eastAsia="方正黑体_GBK" w:cs="方正黑体_GBK"/>
          <w:color w:val="000000"/>
          <w:spacing w:val="0"/>
          <w:kern w:val="2"/>
          <w:sz w:val="32"/>
          <w:szCs w:val="32"/>
        </w:rPr>
        <w:t>一、基本情况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仿宋_GBK"/>
          <w:color w:val="333333"/>
          <w:spacing w:val="0"/>
          <w:sz w:val="32"/>
          <w:szCs w:val="32"/>
          <w:shd w:val="clear" w:color="auto" w:fill="FFFFFF"/>
        </w:rPr>
        <w:t>其他民政管理事务专项资金主要用于</w:t>
      </w:r>
      <w:r>
        <w:rPr>
          <w:rFonts w:hint="default" w:ascii="Times New Roman" w:hAnsi="Times New Roman" w:eastAsia="方正仿宋_GBK"/>
          <w:color w:val="333333"/>
          <w:spacing w:val="0"/>
          <w:kern w:val="2"/>
          <w:sz w:val="32"/>
          <w:szCs w:val="32"/>
          <w:shd w:val="clear" w:color="auto" w:fill="FFFFFF"/>
        </w:rPr>
        <w:t>政策宣传</w:t>
      </w:r>
      <w:r>
        <w:rPr>
          <w:rFonts w:ascii="Times New Roman" w:hAnsi="Times New Roman" w:eastAsia="方正仿宋_GBK"/>
          <w:color w:val="333333"/>
          <w:spacing w:val="0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仿宋_GBK"/>
          <w:color w:val="333333"/>
          <w:spacing w:val="0"/>
          <w:kern w:val="2"/>
          <w:sz w:val="32"/>
          <w:szCs w:val="32"/>
          <w:shd w:val="clear" w:color="auto" w:fill="FFFFFF"/>
        </w:rPr>
        <w:t>指导特困人员救助供养机构管理工作</w:t>
      </w:r>
      <w:r>
        <w:rPr>
          <w:rFonts w:ascii="Times New Roman" w:hAnsi="Times New Roman" w:eastAsia="方正仿宋_GBK"/>
          <w:color w:val="333333"/>
          <w:spacing w:val="0"/>
          <w:kern w:val="2"/>
          <w:sz w:val="32"/>
          <w:szCs w:val="32"/>
          <w:shd w:val="clear" w:color="auto" w:fill="FFFFFF"/>
        </w:rPr>
        <w:t>、</w:t>
      </w:r>
      <w:r>
        <w:rPr>
          <w:rFonts w:hint="default" w:ascii="Times New Roman" w:hAnsi="Times New Roman" w:eastAsia="方正仿宋_GBK"/>
          <w:color w:val="333333"/>
          <w:spacing w:val="0"/>
          <w:kern w:val="2"/>
          <w:sz w:val="32"/>
          <w:szCs w:val="32"/>
          <w:shd w:val="clear" w:color="auto" w:fill="FFFFFF"/>
        </w:rPr>
        <w:t>督促养老服务设施建设及业务指导工作</w:t>
      </w:r>
      <w:r>
        <w:rPr>
          <w:rFonts w:hint="default" w:ascii="Times New Roman" w:hAnsi="Times New Roman" w:eastAsia="方正仿宋_GBK"/>
          <w:color w:val="333333"/>
          <w:spacing w:val="0"/>
          <w:sz w:val="32"/>
          <w:szCs w:val="32"/>
          <w:shd w:val="clear" w:color="auto" w:fill="FFFFFF"/>
        </w:rPr>
        <w:t>，加快推进养老服务业发展。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方正黑体_GBK"/>
          <w:color w:val="000000"/>
          <w:spacing w:val="0"/>
          <w:kern w:val="2"/>
          <w:sz w:val="32"/>
          <w:szCs w:val="32"/>
        </w:rPr>
      </w:pPr>
      <w:r>
        <w:rPr>
          <w:rFonts w:ascii="Times New Roman" w:hAnsi="Times New Roman" w:eastAsia="方正黑体_GBK"/>
          <w:color w:val="000000"/>
          <w:spacing w:val="0"/>
          <w:kern w:val="2"/>
          <w:sz w:val="32"/>
          <w:szCs w:val="32"/>
        </w:rPr>
        <w:t>二、绩效目标完成情况</w:t>
      </w:r>
    </w:p>
    <w:p>
      <w:pPr>
        <w:autoSpaceDE w:val="0"/>
        <w:spacing w:line="560" w:lineRule="exact"/>
        <w:ind w:firstLine="640" w:firstLineChars="200"/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/>
          <w:spacing w:val="0"/>
          <w:sz w:val="32"/>
          <w:szCs w:val="32"/>
        </w:rPr>
        <w:t>202</w:t>
      </w:r>
      <w:r>
        <w:rPr>
          <w:rFonts w:ascii="Times New Roman" w:hAnsi="Times New Roman" w:eastAsia="方正仿宋_GBK"/>
          <w:spacing w:val="0"/>
          <w:sz w:val="32"/>
          <w:szCs w:val="32"/>
        </w:rPr>
        <w:t>1</w:t>
      </w:r>
      <w:r>
        <w:rPr>
          <w:rFonts w:hint="default" w:ascii="Times New Roman" w:hAnsi="Times New Roman" w:eastAsia="方正仿宋_GBK"/>
          <w:spacing w:val="0"/>
          <w:sz w:val="32"/>
          <w:szCs w:val="32"/>
        </w:rPr>
        <w:t>年其他民政管理事务专项资金实际到位资金</w:t>
      </w:r>
      <w:r>
        <w:rPr>
          <w:rFonts w:ascii="Times New Roman" w:hAnsi="Times New Roman" w:eastAsia="方正仿宋_GBK"/>
          <w:spacing w:val="0"/>
          <w:sz w:val="32"/>
          <w:szCs w:val="32"/>
        </w:rPr>
        <w:t>0.97</w:t>
      </w:r>
      <w:r>
        <w:rPr>
          <w:rFonts w:hint="default" w:ascii="Times New Roman" w:hAnsi="Times New Roman" w:eastAsia="方正仿宋_GBK"/>
          <w:spacing w:val="0"/>
          <w:sz w:val="32"/>
          <w:szCs w:val="32"/>
        </w:rPr>
        <w:t>万元</w:t>
      </w:r>
      <w:r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  <w:t>，资金执行率100</w:t>
      </w:r>
      <w:r>
        <w:rPr>
          <w:rFonts w:ascii="Times New Roman" w:hAnsi="Times New Roman" w:eastAsia="方正仿宋_GBK"/>
          <w:color w:val="000000"/>
          <w:spacing w:val="0"/>
          <w:sz w:val="32"/>
          <w:szCs w:val="32"/>
        </w:rPr>
        <w:t>.0</w:t>
      </w:r>
      <w:r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  <w:t>%。全年在全区33个乡镇（街道）进行了养老政策宣传，提高了养老政策知晓率，</w:t>
      </w:r>
      <w:r>
        <w:rPr>
          <w:rFonts w:hint="default" w:ascii="Times New Roman" w:hAnsi="Times New Roman" w:eastAsia="方正仿宋_GBK"/>
          <w:spacing w:val="0"/>
          <w:kern w:val="2"/>
          <w:sz w:val="32"/>
          <w:szCs w:val="32"/>
        </w:rPr>
        <w:t>督促指导全区共建设55个社区养老服务站（中心），建立留守老人关爱制度。</w:t>
      </w:r>
      <w:r>
        <w:rPr>
          <w:rFonts w:hint="default" w:ascii="Times New Roman" w:hAnsi="Times New Roman" w:eastAsia="方正仿宋_GBK"/>
          <w:spacing w:val="0"/>
          <w:sz w:val="32"/>
          <w:szCs w:val="32"/>
        </w:rPr>
        <w:t>该项目的实施在养老服务设施建设等方面，发挥着重要而积极的作用</w:t>
      </w:r>
      <w:r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  <w:t>。</w:t>
      </w:r>
    </w:p>
    <w:p>
      <w:pPr>
        <w:autoSpaceDE w:val="0"/>
        <w:snapToGrid w:val="0"/>
        <w:spacing w:line="560" w:lineRule="exact"/>
        <w:ind w:firstLine="640" w:firstLineChars="200"/>
        <w:rPr>
          <w:rFonts w:hint="default" w:ascii="Times New Roman" w:hAnsi="Times New Roman" w:eastAsia="方正黑体_GBK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黑体_GBK"/>
          <w:color w:val="000000"/>
          <w:spacing w:val="0"/>
          <w:sz w:val="32"/>
          <w:szCs w:val="32"/>
        </w:rPr>
        <w:t>三、绩效自评结果拟应用和公开情况</w:t>
      </w:r>
    </w:p>
    <w:p>
      <w:pPr>
        <w:pStyle w:val="2"/>
        <w:ind w:firstLine="640" w:firstLineChars="200"/>
        <w:rPr>
          <w:rFonts w:hint="default"/>
          <w:spacing w:val="0"/>
        </w:rPr>
      </w:pPr>
      <w:r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  <w:t>在此次评价中，资金使用和效果达到了预期目标和社会效益，为下一年度财政预算分配资金提供了有力的依据。在下一年度进行预算时，</w:t>
      </w:r>
      <w:r>
        <w:rPr>
          <w:rFonts w:ascii="Times New Roman" w:hAnsi="Times New Roman" w:eastAsia="方正仿宋_GBK"/>
          <w:color w:val="000000"/>
          <w:spacing w:val="0"/>
          <w:sz w:val="32"/>
          <w:szCs w:val="32"/>
        </w:rPr>
        <w:t>本单位</w:t>
      </w:r>
      <w:r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  <w:t>将根据此次预算自评结果对某些项目预算资金进行调整，进一步提高年初预算的准确性。同时我</w:t>
      </w:r>
      <w:r>
        <w:rPr>
          <w:rFonts w:ascii="Times New Roman" w:hAnsi="Times New Roman" w:eastAsia="方正仿宋_GBK"/>
          <w:color w:val="000000"/>
          <w:spacing w:val="0"/>
          <w:sz w:val="32"/>
          <w:szCs w:val="32"/>
        </w:rPr>
        <w:t>单</w:t>
      </w:r>
      <w:r>
        <w:rPr>
          <w:rFonts w:ascii="Times New Roman" w:hAnsi="Times New Roman" w:eastAsia="方正仿宋_GBK"/>
          <w:color w:val="000000"/>
          <w:spacing w:val="0"/>
          <w:sz w:val="32"/>
          <w:szCs w:val="32"/>
        </w:rPr>
        <w:t>位</w:t>
      </w:r>
      <w:r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  <w:t>对202</w:t>
      </w:r>
      <w:r>
        <w:rPr>
          <w:rFonts w:ascii="Times New Roman" w:hAnsi="Times New Roman" w:eastAsia="方正仿宋_GBK"/>
          <w:color w:val="000000"/>
          <w:spacing w:val="0"/>
          <w:sz w:val="32"/>
          <w:szCs w:val="32"/>
        </w:rPr>
        <w:t>1</w:t>
      </w:r>
      <w:r>
        <w:rPr>
          <w:rFonts w:hint="default" w:ascii="Times New Roman" w:hAnsi="Times New Roman" w:eastAsia="方正仿宋_GBK"/>
          <w:color w:val="000000"/>
          <w:spacing w:val="0"/>
          <w:sz w:val="32"/>
          <w:szCs w:val="32"/>
        </w:rPr>
        <w:t>年绩效自评结果进行公开，接受广大社会人士的监督。</w:t>
      </w:r>
    </w:p>
    <w:p>
      <w:pPr>
        <w:rPr>
          <w:spacing w:val="0"/>
        </w:rPr>
      </w:pPr>
    </w:p>
    <w:sectPr>
      <w:footerReference r:id="rId3" w:type="default"/>
      <w:pgSz w:w="11915" w:h="16840"/>
      <w:pgMar w:top="2098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eastAsia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eastAsia="仿宋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default" w:eastAsia="仿宋"/>
                              <w:sz w:val="28"/>
                            </w:rPr>
                            <w:t>- 12 -</w:t>
                          </w:r>
                          <w:r>
                            <w:rPr>
                              <w:rFonts w:eastAsia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eastAsia="仿宋"/>
                        <w:sz w:val="28"/>
                      </w:rPr>
                      <w:fldChar w:fldCharType="begin"/>
                    </w:r>
                    <w:r>
                      <w:rPr>
                        <w:rFonts w:eastAsia="仿宋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eastAsia="仿宋"/>
                        <w:sz w:val="28"/>
                      </w:rPr>
                      <w:fldChar w:fldCharType="separate"/>
                    </w:r>
                    <w:r>
                      <w:rPr>
                        <w:rFonts w:hint="default" w:eastAsia="仿宋"/>
                        <w:sz w:val="28"/>
                      </w:rPr>
                      <w:t>- 12 -</w:t>
                    </w:r>
                    <w:r>
                      <w:rPr>
                        <w:rFonts w:eastAsia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QwMmMzYzQ2ZTZiODcyOWRmNmIyYzUzOGU5ZjEifQ=="/>
  </w:docVars>
  <w:rsids>
    <w:rsidRoot w:val="1EDC55F0"/>
    <w:rsid w:val="1ED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keepNext w:val="0"/>
      <w:keepLines w:val="0"/>
      <w:widowControl/>
      <w:suppressLineNumbers w:val="0"/>
      <w:spacing w:before="0" w:beforeAutospacing="0" w:after="12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toc 5"/>
    <w:basedOn w:val="1"/>
    <w:next w:val="1"/>
    <w:qFormat/>
    <w:uiPriority w:val="39"/>
    <w:pPr>
      <w:keepNext w:val="0"/>
      <w:keepLines w:val="0"/>
      <w:widowControl/>
      <w:suppressLineNumbers w:val="0"/>
      <w:spacing w:before="0" w:beforeAutospacing="0" w:after="0" w:afterAutospacing="0"/>
      <w:ind w:left="1680" w:leftChars="800" w:right="0"/>
      <w:jc w:val="left"/>
    </w:pPr>
    <w:rPr>
      <w:rFonts w:hint="default" w:ascii="Times New Roman" w:hAnsi="Times New Roman" w:eastAsia="宋体" w:cs="宋体"/>
      <w:kern w:val="0"/>
      <w:sz w:val="24"/>
      <w:szCs w:val="24"/>
      <w:lang w:val="en-US" w:eastAsia="zh-CN" w:bidi="ar"/>
    </w:rPr>
  </w:style>
  <w:style w:type="paragraph" w:styleId="4">
    <w:name w:val="footer"/>
    <w:basedOn w:val="1"/>
    <w:unhideWhenUsed/>
    <w:qFormat/>
    <w:uiPriority w:val="99"/>
    <w:pPr>
      <w:keepNext w:val="0"/>
      <w:keepLines w:val="0"/>
      <w:widowControl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paragraph" w:styleId="5">
    <w:name w:val="Normal (Web)"/>
    <w:basedOn w:val="1"/>
    <w:unhideWhenUsed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2022-09-29T12:28:00Z</dcterms:created>
  <dc:creator>admin</dc:creator>
  <cp:lastModifiedBy>admin</cp:lastModifiedBy>
  <dcterms:modified xsi:type="dcterms:W3CDTF">2022-09-29T12:29:28Z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8564AC8203D0493DA162FF69165961DA</vt:lpwstr>
  </property>
</Properties>
</file>