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_GBK"/>
          <w:spacing w:val="-8"/>
          <w:sz w:val="40"/>
          <w:szCs w:val="40"/>
          <w:lang w:eastAsia="zh-CN"/>
        </w:rPr>
      </w:pPr>
      <w:r>
        <w:rPr>
          <w:rFonts w:hint="eastAsia" w:eastAsia="方正小标宋_GBK"/>
          <w:spacing w:val="-8"/>
          <w:sz w:val="40"/>
          <w:szCs w:val="40"/>
          <w:lang w:eastAsia="zh-CN"/>
        </w:rPr>
        <w:t>重庆市梁平区屏锦镇劳动就业和社会保障服务所</w:t>
      </w:r>
    </w:p>
    <w:p>
      <w:pPr>
        <w:spacing w:line="600" w:lineRule="exact"/>
        <w:jc w:val="center"/>
        <w:rPr>
          <w:rFonts w:eastAsia="方正小标宋_GBK"/>
          <w:spacing w:val="-8"/>
          <w:sz w:val="40"/>
          <w:szCs w:val="40"/>
        </w:rPr>
      </w:pPr>
      <w:r>
        <w:rPr>
          <w:rFonts w:eastAsia="方正小标宋_GBK"/>
          <w:spacing w:val="-8"/>
          <w:sz w:val="40"/>
          <w:szCs w:val="40"/>
        </w:rPr>
        <w:t>2022年部门预算情况说明</w:t>
      </w:r>
    </w:p>
    <w:p>
      <w:pPr>
        <w:spacing w:line="600" w:lineRule="exact"/>
        <w:ind w:firstLine="1040" w:firstLineChars="200"/>
        <w:jc w:val="center"/>
        <w:rPr>
          <w:rFonts w:eastAsia="华文中宋"/>
          <w:sz w:val="52"/>
          <w:szCs w:val="52"/>
        </w:rPr>
      </w:pPr>
    </w:p>
    <w:p>
      <w:pPr>
        <w:spacing w:line="600" w:lineRule="exact"/>
        <w:ind w:left="640"/>
        <w:rPr>
          <w:rFonts w:eastAsia="方正黑体_GBK"/>
          <w:sz w:val="32"/>
        </w:rPr>
      </w:pPr>
      <w:r>
        <w:rPr>
          <w:rFonts w:eastAsia="方正黑体_GBK"/>
          <w:sz w:val="32"/>
        </w:rPr>
        <w:t>一、单位基本情况</w:t>
      </w:r>
    </w:p>
    <w:p>
      <w:pPr>
        <w:spacing w:line="600" w:lineRule="exact"/>
        <w:ind w:firstLine="640" w:firstLineChars="200"/>
        <w:rPr>
          <w:rFonts w:hint="eastAsia" w:eastAsia="方正楷体_GBK"/>
          <w:sz w:val="32"/>
          <w:lang w:eastAsia="zh-CN"/>
        </w:rPr>
      </w:pPr>
      <w:r>
        <w:rPr>
          <w:rFonts w:eastAsia="方正楷体_GBK"/>
          <w:sz w:val="32"/>
        </w:rPr>
        <w:t>（一）职能职责</w:t>
      </w:r>
    </w:p>
    <w:p>
      <w:pPr>
        <w:spacing w:line="600" w:lineRule="exact"/>
        <w:ind w:firstLine="640" w:firstLineChars="200"/>
        <w:rPr>
          <w:rFonts w:hint="eastAsia" w:ascii="仿宋_GB2312" w:eastAsia="仿宋_GB2312" w:cs="方正仿宋_GBK"/>
          <w:sz w:val="32"/>
          <w:szCs w:val="32"/>
          <w:lang w:eastAsia="zh-CN"/>
        </w:rPr>
      </w:pPr>
      <w:r>
        <w:rPr>
          <w:rFonts w:hint="eastAsia" w:ascii="仿宋_GB2312" w:eastAsia="仿宋_GB2312" w:cs="方正仿宋_GBK"/>
          <w:sz w:val="32"/>
          <w:szCs w:val="32"/>
        </w:rPr>
        <w:t>镇</w:t>
      </w:r>
      <w:r>
        <w:rPr>
          <w:rFonts w:hint="eastAsia" w:ascii="仿宋_GB2312" w:eastAsia="仿宋_GB2312" w:cs="方正仿宋_GBK"/>
          <w:sz w:val="32"/>
          <w:szCs w:val="32"/>
          <w:lang w:eastAsia="zh-CN"/>
        </w:rPr>
        <w:t>劳动就业和社会保障服务所</w:t>
      </w:r>
      <w:r>
        <w:rPr>
          <w:rFonts w:hint="eastAsia" w:ascii="仿宋_GB2312" w:eastAsia="仿宋_GB2312" w:cs="方正仿宋_GBK"/>
          <w:sz w:val="32"/>
          <w:szCs w:val="32"/>
        </w:rPr>
        <w:t>的主要职责是</w:t>
      </w:r>
      <w:r>
        <w:rPr>
          <w:rFonts w:hint="eastAsia" w:ascii="仿宋_GB2312" w:eastAsia="仿宋_GB2312" w:cs="方正仿宋_GBK"/>
          <w:sz w:val="32"/>
          <w:szCs w:val="32"/>
          <w:lang w:eastAsia="zh-CN"/>
        </w:rPr>
        <w:t>：负责下岗失业人员的职业指导、就业培训、职业介绍、岗位开发、就业再就业小额贷款推荐审核等就业服务工作；负责养老保险、失业保险、城乡居民医疗保险等社会保险服务工作；负责企业退休人员、工伤人员等社会化服务工作；负责辖区内农村富余劳动力及外来务工人员的就业管理服务工作；负责辖区内劳动保障咨询、调解和维权工作；负责劳动和社会保障事务代理，为群众提供“一站式”服务；负责报表的统计、分析和上报工作。</w:t>
      </w:r>
    </w:p>
    <w:p>
      <w:pPr>
        <w:spacing w:line="600" w:lineRule="exact"/>
        <w:ind w:left="640"/>
        <w:rPr>
          <w:rFonts w:eastAsia="方正仿宋_GBK"/>
          <w:sz w:val="32"/>
        </w:rPr>
      </w:pPr>
      <w:r>
        <w:rPr>
          <w:rFonts w:eastAsia="方正黑体_GBK"/>
          <w:sz w:val="32"/>
        </w:rPr>
        <w:t>二、</w:t>
      </w:r>
      <w:r>
        <w:rPr>
          <w:rFonts w:hint="eastAsia" w:eastAsia="方正黑体_GBK"/>
          <w:sz w:val="32"/>
          <w:lang w:eastAsia="zh-CN"/>
        </w:rPr>
        <w:t>单位</w:t>
      </w:r>
      <w:r>
        <w:rPr>
          <w:rFonts w:eastAsia="方正黑体_GBK"/>
          <w:sz w:val="32"/>
        </w:rPr>
        <w:t>收支总体情况</w:t>
      </w:r>
    </w:p>
    <w:p>
      <w:pPr>
        <w:spacing w:line="600" w:lineRule="exact"/>
        <w:ind w:firstLine="640" w:firstLineChars="200"/>
        <w:rPr>
          <w:rFonts w:hint="eastAsia" w:eastAsia="仿宋_GB2312"/>
          <w:sz w:val="32"/>
          <w:lang w:eastAsia="zh-CN"/>
        </w:rPr>
      </w:pPr>
      <w:r>
        <w:rPr>
          <w:rFonts w:eastAsia="方正楷体_GBK"/>
          <w:sz w:val="32"/>
        </w:rPr>
        <w:t>（一）收入预算</w:t>
      </w:r>
      <w:r>
        <w:rPr>
          <w:rFonts w:eastAsia="方正仿宋_GBK"/>
          <w:sz w:val="32"/>
        </w:rPr>
        <w:t>：2022年年初预算数</w:t>
      </w:r>
      <w:r>
        <w:rPr>
          <w:rFonts w:hint="eastAsia" w:eastAsia="方正仿宋_GBK"/>
          <w:sz w:val="32"/>
          <w:lang w:val="en-US" w:eastAsia="zh-CN"/>
        </w:rPr>
        <w:t>111.52</w:t>
      </w:r>
      <w:r>
        <w:rPr>
          <w:rFonts w:eastAsia="方正仿宋_GBK"/>
          <w:sz w:val="32"/>
        </w:rPr>
        <w:t>万元，其中：一般公共预算拨款</w:t>
      </w:r>
      <w:r>
        <w:rPr>
          <w:rFonts w:hint="eastAsia" w:eastAsia="方正仿宋_GBK"/>
          <w:sz w:val="32"/>
          <w:lang w:val="en-US" w:eastAsia="zh-CN"/>
        </w:rPr>
        <w:t>111.52</w:t>
      </w:r>
      <w:r>
        <w:rPr>
          <w:rFonts w:eastAsia="方正仿宋_GBK"/>
          <w:sz w:val="32"/>
        </w:rPr>
        <w:t>万元</w:t>
      </w:r>
      <w:r>
        <w:rPr>
          <w:rFonts w:hint="eastAsia" w:eastAsia="方正仿宋_GBK"/>
          <w:sz w:val="32"/>
          <w:lang w:eastAsia="zh-CN"/>
        </w:rPr>
        <w:t>。</w:t>
      </w:r>
      <w:r>
        <w:rPr>
          <w:rFonts w:eastAsia="方正仿宋_GBK"/>
          <w:sz w:val="32"/>
        </w:rPr>
        <w:t>收入较2021年增加</w:t>
      </w:r>
      <w:r>
        <w:rPr>
          <w:rFonts w:hint="eastAsia" w:eastAsia="方正仿宋_GBK"/>
          <w:sz w:val="32"/>
          <w:lang w:val="en-US" w:eastAsia="zh-CN"/>
        </w:rPr>
        <w:t>6.44</w:t>
      </w:r>
      <w:r>
        <w:rPr>
          <w:rFonts w:eastAsia="方正仿宋_GBK"/>
          <w:sz w:val="32"/>
        </w:rPr>
        <w:t>万元，</w:t>
      </w:r>
      <w:r>
        <w:rPr>
          <w:rFonts w:hint="eastAsia" w:ascii="仿宋_GB2312" w:eastAsia="仿宋_GB2312"/>
          <w:sz w:val="32"/>
          <w:szCs w:val="32"/>
        </w:rPr>
        <w:t>主要原因是工资正常晋升、公用经费调整</w:t>
      </w:r>
      <w:r>
        <w:rPr>
          <w:rFonts w:hint="eastAsia" w:ascii="仿宋_GB2312" w:eastAsia="仿宋_GB2312"/>
          <w:sz w:val="32"/>
          <w:szCs w:val="32"/>
          <w:lang w:eastAsia="zh-CN"/>
        </w:rPr>
        <w:t>，</w:t>
      </w:r>
      <w:r>
        <w:rPr>
          <w:rFonts w:hint="eastAsia" w:ascii="仿宋_GB2312" w:eastAsia="仿宋_GB2312"/>
          <w:sz w:val="32"/>
          <w:szCs w:val="32"/>
        </w:rPr>
        <w:t>主要用于保障在职人员工资福利及社会保险缴费，保障</w:t>
      </w:r>
      <w:r>
        <w:rPr>
          <w:rFonts w:hint="eastAsia" w:ascii="仿宋_GB2312" w:eastAsia="仿宋_GB2312"/>
          <w:sz w:val="32"/>
          <w:szCs w:val="32"/>
          <w:lang w:eastAsia="zh-CN"/>
        </w:rPr>
        <w:t>单位</w:t>
      </w:r>
      <w:r>
        <w:rPr>
          <w:rFonts w:hint="eastAsia" w:ascii="仿宋_GB2312" w:eastAsia="仿宋_GB2312"/>
          <w:sz w:val="32"/>
          <w:szCs w:val="32"/>
        </w:rPr>
        <w:t>正常运转的各项商品服务支出</w:t>
      </w:r>
      <w:r>
        <w:rPr>
          <w:rFonts w:hint="eastAsia" w:ascii="仿宋_GB2312" w:eastAsia="仿宋_GB2312"/>
          <w:sz w:val="32"/>
          <w:szCs w:val="32"/>
          <w:lang w:eastAsia="zh-CN"/>
        </w:rPr>
        <w:t>。</w:t>
      </w:r>
    </w:p>
    <w:p>
      <w:pPr>
        <w:spacing w:line="600" w:lineRule="exact"/>
        <w:ind w:firstLine="640" w:firstLineChars="200"/>
        <w:rPr>
          <w:rFonts w:hint="eastAsia" w:eastAsia="方正仿宋_GBK"/>
          <w:sz w:val="32"/>
          <w:lang w:eastAsia="zh-CN"/>
        </w:rPr>
      </w:pPr>
      <w:r>
        <w:rPr>
          <w:rFonts w:eastAsia="方正楷体_GBK"/>
          <w:sz w:val="32"/>
        </w:rPr>
        <w:t>（二）支出预算</w:t>
      </w:r>
      <w:r>
        <w:rPr>
          <w:rFonts w:eastAsia="方正仿宋_GBK"/>
          <w:sz w:val="32"/>
        </w:rPr>
        <w:t>：2022年年初预算数</w:t>
      </w:r>
      <w:r>
        <w:rPr>
          <w:rFonts w:hint="eastAsia" w:eastAsia="方正仿宋_GBK"/>
          <w:sz w:val="32"/>
          <w:lang w:val="en-US" w:eastAsia="zh-CN"/>
        </w:rPr>
        <w:t>111.52</w:t>
      </w:r>
      <w:r>
        <w:rPr>
          <w:rFonts w:eastAsia="方正仿宋_GBK"/>
          <w:sz w:val="32"/>
        </w:rPr>
        <w:t>万元，其中：</w:t>
      </w:r>
      <w:r>
        <w:rPr>
          <w:rFonts w:hint="eastAsia" w:eastAsia="方正仿宋_GBK"/>
          <w:sz w:val="32"/>
        </w:rPr>
        <w:t>社会保障和就业支出</w:t>
      </w:r>
      <w:r>
        <w:rPr>
          <w:rFonts w:hint="eastAsia" w:eastAsia="方正仿宋_GBK"/>
          <w:sz w:val="32"/>
          <w:lang w:eastAsia="zh-CN"/>
        </w:rPr>
        <w:t>预算</w:t>
      </w:r>
      <w:r>
        <w:rPr>
          <w:rFonts w:hint="eastAsia" w:eastAsia="方正仿宋_GBK"/>
          <w:sz w:val="32"/>
          <w:lang w:val="en-US" w:eastAsia="zh-CN"/>
        </w:rPr>
        <w:t>101.28</w:t>
      </w:r>
      <w:r>
        <w:rPr>
          <w:rFonts w:eastAsia="方正仿宋_GBK"/>
          <w:sz w:val="32"/>
        </w:rPr>
        <w:t>万元，</w:t>
      </w:r>
      <w:r>
        <w:rPr>
          <w:rFonts w:hint="eastAsia" w:eastAsia="方正仿宋_GBK"/>
          <w:sz w:val="32"/>
        </w:rPr>
        <w:t>卫生健康支出</w:t>
      </w:r>
      <w:r>
        <w:rPr>
          <w:rFonts w:eastAsia="方正仿宋_GBK"/>
          <w:sz w:val="32"/>
        </w:rPr>
        <w:t>预算</w:t>
      </w:r>
      <w:r>
        <w:rPr>
          <w:rFonts w:hint="eastAsia" w:eastAsia="方正仿宋_GBK"/>
          <w:sz w:val="32"/>
          <w:lang w:val="en-US" w:eastAsia="zh-CN"/>
        </w:rPr>
        <w:t>5.06</w:t>
      </w:r>
      <w:r>
        <w:rPr>
          <w:rFonts w:eastAsia="方正仿宋_GBK"/>
          <w:sz w:val="32"/>
        </w:rPr>
        <w:t>万元，</w:t>
      </w:r>
      <w:r>
        <w:rPr>
          <w:rFonts w:hint="eastAsia" w:eastAsia="方正仿宋_GBK"/>
          <w:sz w:val="32"/>
        </w:rPr>
        <w:t>住房保障支出</w:t>
      </w:r>
      <w:r>
        <w:rPr>
          <w:rFonts w:eastAsia="方正仿宋_GBK"/>
          <w:sz w:val="32"/>
        </w:rPr>
        <w:t>预算</w:t>
      </w:r>
      <w:r>
        <w:rPr>
          <w:rFonts w:hint="eastAsia" w:eastAsia="方正仿宋_GBK"/>
          <w:sz w:val="32"/>
          <w:lang w:val="en-US" w:eastAsia="zh-CN"/>
        </w:rPr>
        <w:t>5.18</w:t>
      </w:r>
      <w:r>
        <w:rPr>
          <w:rFonts w:eastAsia="方正仿宋_GBK"/>
          <w:sz w:val="32"/>
        </w:rPr>
        <w:t>万元</w:t>
      </w:r>
      <w:r>
        <w:rPr>
          <w:rFonts w:hint="eastAsia" w:eastAsia="方正仿宋_GBK"/>
          <w:sz w:val="32"/>
          <w:lang w:eastAsia="zh-CN"/>
        </w:rPr>
        <w:t>。</w:t>
      </w:r>
    </w:p>
    <w:p>
      <w:pPr>
        <w:spacing w:line="600" w:lineRule="exact"/>
        <w:ind w:left="640"/>
        <w:rPr>
          <w:rFonts w:eastAsia="方正黑体_GBK"/>
          <w:sz w:val="32"/>
        </w:rPr>
      </w:pPr>
      <w:r>
        <w:rPr>
          <w:rFonts w:eastAsia="方正黑体_GBK"/>
          <w:sz w:val="32"/>
        </w:rPr>
        <w:t>三、</w:t>
      </w:r>
      <w:r>
        <w:rPr>
          <w:rFonts w:hint="eastAsia" w:eastAsia="方正黑体_GBK"/>
          <w:sz w:val="32"/>
          <w:lang w:eastAsia="zh-CN"/>
        </w:rPr>
        <w:t>单位</w:t>
      </w:r>
      <w:r>
        <w:rPr>
          <w:rFonts w:eastAsia="方正黑体_GBK"/>
          <w:sz w:val="32"/>
        </w:rPr>
        <w:t>预算情况说明</w:t>
      </w:r>
    </w:p>
    <w:p>
      <w:pPr>
        <w:spacing w:line="600" w:lineRule="exact"/>
        <w:ind w:firstLine="640" w:firstLineChars="200"/>
        <w:rPr>
          <w:rFonts w:hint="eastAsia" w:eastAsia="方正仿宋_GBK"/>
          <w:sz w:val="32"/>
          <w:lang w:eastAsia="zh-CN"/>
        </w:rPr>
      </w:pPr>
      <w:r>
        <w:rPr>
          <w:rFonts w:eastAsia="方正仿宋_GBK"/>
          <w:sz w:val="32"/>
        </w:rPr>
        <w:t>2022年一般公共预算财政拨款收入</w:t>
      </w:r>
      <w:r>
        <w:rPr>
          <w:rFonts w:hint="eastAsia" w:eastAsia="方正仿宋_GBK"/>
          <w:sz w:val="32"/>
          <w:lang w:val="en-US" w:eastAsia="zh-CN"/>
        </w:rPr>
        <w:t>111.52</w:t>
      </w:r>
      <w:r>
        <w:rPr>
          <w:rFonts w:eastAsia="方正仿宋_GBK"/>
          <w:sz w:val="32"/>
        </w:rPr>
        <w:t>万元，一般公共预算财政拨款支出</w:t>
      </w:r>
      <w:r>
        <w:rPr>
          <w:rFonts w:hint="eastAsia" w:eastAsia="方正仿宋_GBK"/>
          <w:sz w:val="32"/>
          <w:lang w:val="en-US" w:eastAsia="zh-CN"/>
        </w:rPr>
        <w:t>111.52</w:t>
      </w:r>
      <w:r>
        <w:rPr>
          <w:rFonts w:eastAsia="方正仿宋_GBK"/>
          <w:sz w:val="32"/>
        </w:rPr>
        <w:t>万元，比2021年增加</w:t>
      </w:r>
      <w:r>
        <w:rPr>
          <w:rFonts w:hint="eastAsia" w:eastAsia="方正仿宋_GBK"/>
          <w:sz w:val="32"/>
          <w:lang w:val="en-US" w:eastAsia="zh-CN"/>
        </w:rPr>
        <w:t>6.44</w:t>
      </w:r>
      <w:r>
        <w:rPr>
          <w:rFonts w:eastAsia="方正仿宋_GBK"/>
          <w:sz w:val="32"/>
        </w:rPr>
        <w:t>万元。其中：基本支出</w:t>
      </w:r>
      <w:r>
        <w:rPr>
          <w:rFonts w:hint="eastAsia" w:eastAsia="方正仿宋_GBK"/>
          <w:sz w:val="32"/>
          <w:lang w:val="en-US" w:eastAsia="zh-CN"/>
        </w:rPr>
        <w:t>111.52</w:t>
      </w:r>
      <w:r>
        <w:rPr>
          <w:rFonts w:eastAsia="方正仿宋_GBK"/>
          <w:sz w:val="32"/>
        </w:rPr>
        <w:t>万元，比2021年增加</w:t>
      </w:r>
      <w:r>
        <w:rPr>
          <w:rFonts w:hint="eastAsia" w:eastAsia="方正仿宋_GBK"/>
          <w:sz w:val="32"/>
          <w:lang w:val="en-US" w:eastAsia="zh-CN"/>
        </w:rPr>
        <w:t>6.44</w:t>
      </w:r>
      <w:r>
        <w:rPr>
          <w:rFonts w:eastAsia="方正仿宋_GBK"/>
          <w:sz w:val="32"/>
        </w:rPr>
        <w:t>万元，主要原因是</w:t>
      </w:r>
      <w:r>
        <w:rPr>
          <w:rFonts w:hint="eastAsia" w:eastAsia="方正仿宋_GBK"/>
          <w:sz w:val="32"/>
          <w:lang w:eastAsia="zh-CN"/>
        </w:rPr>
        <w:t>公用经费调整</w:t>
      </w:r>
      <w:r>
        <w:rPr>
          <w:rFonts w:eastAsia="方正仿宋_GBK"/>
          <w:sz w:val="32"/>
        </w:rPr>
        <w:t>等，主要用于保障在职人员工资福利及社会保险缴费，退休人员补助等，保障</w:t>
      </w:r>
      <w:r>
        <w:rPr>
          <w:rFonts w:hint="eastAsia" w:eastAsia="方正仿宋_GBK"/>
          <w:sz w:val="32"/>
          <w:lang w:eastAsia="zh-CN"/>
        </w:rPr>
        <w:t>单位</w:t>
      </w:r>
      <w:r>
        <w:rPr>
          <w:rFonts w:eastAsia="方正仿宋_GBK"/>
          <w:sz w:val="32"/>
        </w:rPr>
        <w:t>正常运转的各项商品服务支出；</w:t>
      </w:r>
      <w:r>
        <w:rPr>
          <w:rFonts w:hint="eastAsia" w:eastAsia="方正仿宋_GBK"/>
          <w:sz w:val="32"/>
          <w:lang w:eastAsia="zh-CN"/>
        </w:rPr>
        <w:t>无</w:t>
      </w:r>
      <w:r>
        <w:rPr>
          <w:rFonts w:eastAsia="方正仿宋_GBK"/>
          <w:sz w:val="32"/>
        </w:rPr>
        <w:t>项目支出</w:t>
      </w:r>
      <w:r>
        <w:rPr>
          <w:rFonts w:hint="eastAsia" w:eastAsia="方正仿宋_GBK"/>
          <w:sz w:val="32"/>
          <w:lang w:eastAsia="zh-CN"/>
        </w:rPr>
        <w:t>。</w:t>
      </w:r>
    </w:p>
    <w:p>
      <w:pPr>
        <w:spacing w:line="600" w:lineRule="exact"/>
        <w:ind w:firstLine="640" w:firstLineChars="200"/>
        <w:rPr>
          <w:rFonts w:hint="eastAsia" w:eastAsia="方正仿宋_GBK"/>
          <w:sz w:val="32"/>
          <w:lang w:eastAsia="zh-CN"/>
        </w:rPr>
      </w:pPr>
      <w:r>
        <w:rPr>
          <w:rFonts w:hint="eastAsia" w:eastAsia="方正仿宋_GBK"/>
          <w:sz w:val="32"/>
          <w:lang w:eastAsia="zh-CN"/>
        </w:rPr>
        <w:t>重庆市梁平区屏锦镇</w:t>
      </w:r>
      <w:r>
        <w:rPr>
          <w:rFonts w:eastAsia="方正仿宋_GBK"/>
          <w:sz w:val="32"/>
        </w:rPr>
        <w:t>2022年无使用政府性基金预算拨款安排的支出</w:t>
      </w:r>
      <w:r>
        <w:rPr>
          <w:rFonts w:hint="eastAsia" w:eastAsia="方正仿宋_GBK"/>
          <w:sz w:val="32"/>
          <w:lang w:eastAsia="zh-CN"/>
        </w:rPr>
        <w:t>。</w:t>
      </w:r>
    </w:p>
    <w:p>
      <w:pPr>
        <w:spacing w:line="600" w:lineRule="exact"/>
        <w:ind w:left="640"/>
        <w:rPr>
          <w:rFonts w:eastAsia="方正仿宋_GBK"/>
          <w:sz w:val="32"/>
        </w:rPr>
      </w:pPr>
      <w:r>
        <w:rPr>
          <w:rFonts w:eastAsia="方正黑体_GBK"/>
          <w:sz w:val="32"/>
        </w:rPr>
        <w:t>四、“三公”经费情况说明</w:t>
      </w:r>
    </w:p>
    <w:p>
      <w:pPr>
        <w:spacing w:line="600" w:lineRule="exact"/>
        <w:ind w:firstLine="600"/>
        <w:rPr>
          <w:rFonts w:hint="default" w:eastAsia="方正仿宋_GBK"/>
          <w:sz w:val="32"/>
          <w:lang w:val="en-US" w:eastAsia="zh-CN"/>
        </w:rPr>
      </w:pPr>
      <w:r>
        <w:rPr>
          <w:rFonts w:hint="eastAsia" w:eastAsia="方正仿宋_GBK"/>
          <w:sz w:val="32"/>
          <w:lang w:eastAsia="zh-CN"/>
        </w:rPr>
        <w:t>重庆市梁平区屏锦镇</w:t>
      </w:r>
      <w:r>
        <w:rPr>
          <w:rFonts w:hint="eastAsia" w:ascii="仿宋_GB2312" w:eastAsia="仿宋_GB2312" w:cs="方正仿宋_GBK"/>
          <w:sz w:val="32"/>
          <w:szCs w:val="32"/>
          <w:lang w:eastAsia="zh-CN"/>
        </w:rPr>
        <w:t>劳动就业和社会保障服务所</w:t>
      </w:r>
      <w:r>
        <w:rPr>
          <w:rFonts w:hint="eastAsia" w:eastAsia="方正仿宋_GBK"/>
          <w:sz w:val="32"/>
          <w:lang w:val="en-US" w:eastAsia="zh-CN"/>
        </w:rPr>
        <w:t>2022年未预算“三公”经费。</w:t>
      </w:r>
    </w:p>
    <w:p>
      <w:pPr>
        <w:spacing w:line="600" w:lineRule="exact"/>
        <w:ind w:left="640"/>
        <w:rPr>
          <w:rFonts w:eastAsia="方正黑体_GBK"/>
          <w:sz w:val="32"/>
        </w:rPr>
      </w:pPr>
      <w:r>
        <w:rPr>
          <w:rFonts w:eastAsia="方正黑体_GBK"/>
          <w:sz w:val="32"/>
        </w:rPr>
        <w:t>五、其他重要事项的情况说明</w:t>
      </w:r>
    </w:p>
    <w:p>
      <w:pPr>
        <w:ind w:firstLine="640" w:firstLineChars="200"/>
        <w:rPr>
          <w:rFonts w:hint="eastAsia" w:eastAsia="方正仿宋_GBK"/>
          <w:sz w:val="32"/>
          <w:lang w:eastAsia="zh-CN"/>
        </w:rPr>
      </w:pPr>
      <w:r>
        <w:rPr>
          <w:rFonts w:eastAsia="方正仿宋_GBK"/>
          <w:sz w:val="32"/>
        </w:rPr>
        <w:t>1、</w:t>
      </w:r>
      <w:r>
        <w:rPr>
          <w:rFonts w:hint="eastAsia" w:eastAsia="方正仿宋_GBK"/>
          <w:sz w:val="32"/>
          <w:lang w:eastAsia="zh-CN"/>
        </w:rPr>
        <w:t>事业</w:t>
      </w:r>
      <w:r>
        <w:rPr>
          <w:rFonts w:eastAsia="方正仿宋_GBK"/>
          <w:sz w:val="32"/>
        </w:rPr>
        <w:t>运行经费。2022年一般公共预算财政拨款运行经费</w:t>
      </w:r>
      <w:r>
        <w:rPr>
          <w:rFonts w:hint="eastAsia" w:eastAsia="方正仿宋_GBK"/>
          <w:sz w:val="32"/>
          <w:lang w:val="en-US" w:eastAsia="zh-CN"/>
        </w:rPr>
        <w:t>11.17</w:t>
      </w:r>
      <w:bookmarkStart w:id="0" w:name="_GoBack"/>
      <w:bookmarkEnd w:id="0"/>
      <w:r>
        <w:rPr>
          <w:rFonts w:eastAsia="方正仿宋_GBK"/>
          <w:sz w:val="32"/>
        </w:rPr>
        <w:t>万元</w:t>
      </w:r>
      <w:r>
        <w:rPr>
          <w:rFonts w:hint="eastAsia" w:eastAsia="方正仿宋_GBK"/>
          <w:sz w:val="32"/>
          <w:lang w:eastAsia="zh-CN"/>
        </w:rPr>
        <w:t>。</w:t>
      </w:r>
    </w:p>
    <w:p>
      <w:pPr>
        <w:ind w:firstLine="640" w:firstLineChars="200"/>
        <w:rPr>
          <w:rFonts w:hint="eastAsia" w:eastAsia="方正仿宋_GBK"/>
          <w:sz w:val="32"/>
          <w:lang w:eastAsia="zh-CN"/>
        </w:rPr>
      </w:pPr>
      <w:r>
        <w:rPr>
          <w:rFonts w:eastAsia="方正仿宋_GBK"/>
          <w:sz w:val="32"/>
        </w:rPr>
        <w:t>2、政府采购情况。</w:t>
      </w:r>
      <w:r>
        <w:rPr>
          <w:rFonts w:hint="eastAsia" w:eastAsia="方正仿宋_GBK"/>
          <w:sz w:val="32"/>
          <w:lang w:eastAsia="zh-CN"/>
        </w:rPr>
        <w:t>本</w:t>
      </w:r>
      <w:r>
        <w:rPr>
          <w:rFonts w:eastAsia="方正仿宋_GBK"/>
          <w:sz w:val="32"/>
        </w:rPr>
        <w:t>单位政府采购</w:t>
      </w:r>
      <w:r>
        <w:rPr>
          <w:rFonts w:hint="eastAsia" w:eastAsia="方正仿宋_GBK"/>
          <w:sz w:val="32"/>
          <w:lang w:eastAsia="zh-CN"/>
        </w:rPr>
        <w:t>未进行</w:t>
      </w:r>
      <w:r>
        <w:rPr>
          <w:rFonts w:eastAsia="方正仿宋_GBK"/>
          <w:sz w:val="32"/>
        </w:rPr>
        <w:t>预算</w:t>
      </w:r>
      <w:r>
        <w:rPr>
          <w:rFonts w:hint="eastAsia" w:eastAsia="方正仿宋_GBK"/>
          <w:sz w:val="32"/>
          <w:lang w:eastAsia="zh-CN"/>
        </w:rPr>
        <w:t>。</w:t>
      </w:r>
    </w:p>
    <w:p>
      <w:pPr>
        <w:ind w:firstLine="640" w:firstLineChars="200"/>
        <w:rPr>
          <w:rFonts w:hint="eastAsia" w:eastAsia="方正仿宋_GBK"/>
          <w:color w:val="000000"/>
          <w:sz w:val="32"/>
          <w:lang w:eastAsia="zh-CN"/>
        </w:rPr>
      </w:pPr>
      <w:r>
        <w:rPr>
          <w:rFonts w:eastAsia="方正仿宋_GBK"/>
          <w:sz w:val="32"/>
        </w:rPr>
        <w:t>3、绩效目标设置情况。</w:t>
      </w:r>
      <w:r>
        <w:rPr>
          <w:rFonts w:eastAsia="方正仿宋_GBK"/>
          <w:color w:val="000000"/>
          <w:sz w:val="32"/>
        </w:rPr>
        <w:t>2022年</w:t>
      </w:r>
      <w:r>
        <w:rPr>
          <w:rFonts w:hint="eastAsia" w:eastAsia="方正仿宋_GBK"/>
          <w:color w:val="000000"/>
          <w:sz w:val="32"/>
          <w:lang w:eastAsia="zh-CN"/>
        </w:rPr>
        <w:t>无</w:t>
      </w:r>
      <w:r>
        <w:rPr>
          <w:rFonts w:eastAsia="方正仿宋_GBK"/>
          <w:color w:val="000000"/>
          <w:sz w:val="32"/>
        </w:rPr>
        <w:t>项目</w:t>
      </w:r>
      <w:r>
        <w:rPr>
          <w:rFonts w:hint="eastAsia" w:eastAsia="方正仿宋_GBK"/>
          <w:color w:val="000000"/>
          <w:sz w:val="32"/>
          <w:lang w:eastAsia="zh-CN"/>
        </w:rPr>
        <w:t>，未设置绩效目标。</w:t>
      </w:r>
    </w:p>
    <w:p>
      <w:pPr>
        <w:ind w:firstLine="640" w:firstLineChars="200"/>
        <w:rPr>
          <w:rFonts w:eastAsia="方正仿宋_GBK"/>
          <w:color w:val="000000"/>
          <w:sz w:val="32"/>
        </w:rPr>
      </w:pPr>
      <w:r>
        <w:rPr>
          <w:rFonts w:eastAsia="方正仿宋_GBK"/>
          <w:color w:val="000000"/>
          <w:sz w:val="32"/>
        </w:rPr>
        <w:t>4、国有资产占有使用情况。截</w:t>
      </w:r>
      <w:r>
        <w:rPr>
          <w:rFonts w:hint="eastAsia" w:eastAsia="方正仿宋_GBK"/>
          <w:color w:val="000000"/>
          <w:sz w:val="32"/>
        </w:rPr>
        <w:t>至</w:t>
      </w:r>
      <w:r>
        <w:rPr>
          <w:rFonts w:eastAsia="方正仿宋_GBK"/>
          <w:color w:val="000000"/>
          <w:sz w:val="32"/>
        </w:rPr>
        <w:t>2021年12月，</w:t>
      </w:r>
      <w:r>
        <w:rPr>
          <w:rFonts w:hint="eastAsia" w:eastAsia="方正仿宋_GBK"/>
          <w:color w:val="000000"/>
          <w:sz w:val="32"/>
          <w:lang w:eastAsia="zh-CN"/>
        </w:rPr>
        <w:t>本</w:t>
      </w:r>
      <w:r>
        <w:rPr>
          <w:rFonts w:eastAsia="方正仿宋_GBK"/>
          <w:color w:val="000000"/>
          <w:sz w:val="32"/>
        </w:rPr>
        <w:t>预算单位共</w:t>
      </w:r>
      <w:r>
        <w:rPr>
          <w:rFonts w:hint="eastAsia" w:eastAsia="方正仿宋_GBK"/>
          <w:color w:val="000000"/>
          <w:sz w:val="32"/>
          <w:lang w:eastAsia="zh-CN"/>
        </w:rPr>
        <w:t>无车辆，</w:t>
      </w:r>
      <w:r>
        <w:rPr>
          <w:rFonts w:eastAsia="方正仿宋_GBK"/>
          <w:color w:val="000000"/>
          <w:sz w:val="32"/>
        </w:rPr>
        <w:t>2022年一般公共预算安排购置车辆</w:t>
      </w:r>
      <w:r>
        <w:rPr>
          <w:rFonts w:hint="eastAsia" w:eastAsia="方正仿宋_GBK"/>
          <w:sz w:val="32"/>
          <w:lang w:val="en-US" w:eastAsia="zh-CN"/>
        </w:rPr>
        <w:t>0</w:t>
      </w:r>
      <w:r>
        <w:rPr>
          <w:rFonts w:eastAsia="方正仿宋_GBK"/>
          <w:color w:val="000000"/>
          <w:sz w:val="32"/>
        </w:rPr>
        <w:t>辆</w:t>
      </w:r>
      <w:r>
        <w:rPr>
          <w:rFonts w:hint="eastAsia" w:eastAsia="方正仿宋_GBK"/>
          <w:color w:val="000000"/>
          <w:sz w:val="32"/>
          <w:lang w:eastAsia="zh-CN"/>
        </w:rPr>
        <w:t>。</w:t>
      </w:r>
    </w:p>
    <w:p>
      <w:pPr>
        <w:spacing w:line="600" w:lineRule="exact"/>
        <w:ind w:firstLine="640" w:firstLineChars="200"/>
        <w:rPr>
          <w:rFonts w:eastAsia="方正黑体_GBK"/>
          <w:sz w:val="32"/>
        </w:rPr>
      </w:pPr>
      <w:r>
        <w:rPr>
          <w:rFonts w:eastAsia="方正黑体_GBK"/>
          <w:sz w:val="32"/>
        </w:rPr>
        <w:t>六、专业性名词解释（纳入向社会公开范围的部门必须填写！）</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（二）其他收入：</w:t>
      </w:r>
      <w:r>
        <w:rPr>
          <w:rFonts w:ascii="Times New Roman" w:hAnsi="Times New Roman" w:eastAsia="方正仿宋_GBK"/>
          <w:sz w:val="32"/>
          <w:szCs w:val="32"/>
        </w:rPr>
        <w:t>指单位取得的除“财政拨款收入”、“事业收入”、“经营收入”等以外的收入。</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（三）基本支出：</w:t>
      </w:r>
      <w:r>
        <w:rPr>
          <w:rFonts w:ascii="Times New Roman" w:hAnsi="Times New Roman" w:eastAsia="方正仿宋_GBK"/>
          <w:sz w:val="32"/>
          <w:szCs w:val="32"/>
        </w:rPr>
        <w:t>指为保障机构正常运转、完成日常工作任务而发生的人员经费和公用经费。</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eastAsia="方正仿宋_GBK"/>
          <w:color w:val="000000"/>
          <w:sz w:val="32"/>
        </w:rPr>
      </w:pPr>
      <w:r>
        <w:rPr>
          <w:rFonts w:eastAsia="方正楷体_GBK"/>
          <w:sz w:val="32"/>
        </w:rPr>
        <w:t>（五）“三公”经费：</w:t>
      </w:r>
      <w:r>
        <w:rPr>
          <w:rFonts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eastAsia="方正仿宋_GBK"/>
          <w:b/>
          <w:sz w:val="32"/>
        </w:rPr>
      </w:pPr>
    </w:p>
    <w:p>
      <w:pPr>
        <w:jc w:val="right"/>
        <w:rPr>
          <w:rFonts w:hint="eastAsia" w:eastAsia="方正仿宋_GBK"/>
          <w:b/>
          <w:sz w:val="32"/>
          <w:lang w:eastAsia="zh-CN"/>
        </w:rPr>
      </w:pPr>
      <w:r>
        <w:rPr>
          <w:rFonts w:eastAsia="方正仿宋_GBK"/>
          <w:b/>
          <w:sz w:val="32"/>
        </w:rPr>
        <w:t>部门（单位）预算公开联系人：</w:t>
      </w:r>
      <w:r>
        <w:rPr>
          <w:rFonts w:hint="eastAsia" w:eastAsia="方正仿宋_GBK"/>
          <w:b/>
          <w:sz w:val="32"/>
          <w:lang w:eastAsia="zh-CN"/>
        </w:rPr>
        <w:t>周可</w:t>
      </w:r>
    </w:p>
    <w:p>
      <w:pPr>
        <w:jc w:val="right"/>
        <w:rPr>
          <w:rFonts w:hint="default" w:eastAsia="方正仿宋_GBK"/>
          <w:b/>
          <w:sz w:val="32"/>
          <w:lang w:val="en-US" w:eastAsia="zh-CN"/>
        </w:rPr>
      </w:pPr>
      <w:r>
        <w:rPr>
          <w:rFonts w:eastAsia="方正仿宋_GBK"/>
          <w:b/>
          <w:sz w:val="32"/>
        </w:rPr>
        <w:t>联系方式：</w:t>
      </w:r>
      <w:r>
        <w:rPr>
          <w:rFonts w:hint="eastAsia" w:eastAsia="方正仿宋_GBK"/>
          <w:b/>
          <w:sz w:val="32"/>
          <w:lang w:val="en-US" w:eastAsia="zh-CN"/>
        </w:rPr>
        <w:t>17823095564</w:t>
      </w: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sectPr>
          <w:pgSz w:w="11906" w:h="16838"/>
          <w:pgMar w:top="1588" w:right="1531" w:bottom="1588" w:left="1531" w:header="851" w:footer="851" w:gutter="0"/>
          <w:cols w:space="425"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64EFE"/>
    <w:rsid w:val="153A29B9"/>
    <w:rsid w:val="157B7FB3"/>
    <w:rsid w:val="28A57728"/>
    <w:rsid w:val="354E6ED1"/>
    <w:rsid w:val="35B15C96"/>
    <w:rsid w:val="38A64EFE"/>
    <w:rsid w:val="50987457"/>
    <w:rsid w:val="5A51414E"/>
    <w:rsid w:val="75363A2C"/>
    <w:rsid w:val="7B091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2022-02-10T03:00:00Z</dcterms:created>
  <dc:creator>皮蛋瘦肉周</dc:creator>
  <cp:lastModifiedBy>皮蛋瘦肉周</cp:lastModifiedBy>
  <dcterms:modified xsi:type="dcterms:W3CDTF">2022-02-10T11:27:27Z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8029D07A50BE4A3C9C8FB8CD4D6EEF56</vt:lpwstr>
  </property>
</Properties>
</file>