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pacing w:val="-8"/>
          <w:sz w:val="44"/>
          <w:szCs w:val="44"/>
          <w:lang w:eastAsia="zh-CN"/>
        </w:rPr>
      </w:pPr>
      <w:r>
        <w:rPr>
          <w:rFonts w:hint="eastAsia" w:eastAsia="方正小标宋_GBK"/>
          <w:spacing w:val="-8"/>
          <w:sz w:val="44"/>
          <w:szCs w:val="44"/>
          <w:lang w:eastAsia="zh-CN"/>
        </w:rPr>
        <w:t>重庆市梁平区屏锦镇农业服务中心</w:t>
      </w:r>
    </w:p>
    <w:p>
      <w:pPr>
        <w:spacing w:line="600" w:lineRule="exact"/>
        <w:jc w:val="center"/>
        <w:rPr>
          <w:rFonts w:eastAsia="方正小标宋_GBK"/>
          <w:spacing w:val="-8"/>
          <w:sz w:val="44"/>
          <w:szCs w:val="44"/>
        </w:rPr>
      </w:pPr>
      <w:r>
        <w:rPr>
          <w:rFonts w:eastAsia="方正小标宋_GBK"/>
          <w:spacing w:val="-8"/>
          <w:sz w:val="44"/>
          <w:szCs w:val="44"/>
        </w:rPr>
        <w:t>2022年部门预算情况说明</w:t>
      </w:r>
    </w:p>
    <w:p>
      <w:pPr>
        <w:spacing w:line="600" w:lineRule="exact"/>
        <w:ind w:firstLine="1040" w:firstLineChars="200"/>
        <w:jc w:val="center"/>
        <w:rPr>
          <w:rFonts w:eastAsia="华文中宋"/>
          <w:sz w:val="52"/>
          <w:szCs w:val="52"/>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hint="eastAsia" w:eastAsia="方正楷体_GBK"/>
          <w:sz w:val="32"/>
          <w:lang w:eastAsia="zh-CN"/>
        </w:rPr>
      </w:pPr>
      <w:r>
        <w:rPr>
          <w:rFonts w:eastAsia="方正楷体_GBK"/>
          <w:sz w:val="32"/>
        </w:rPr>
        <w:t>（一）职能职责</w:t>
      </w:r>
    </w:p>
    <w:p>
      <w:pPr>
        <w:spacing w:line="600" w:lineRule="exact"/>
        <w:ind w:firstLine="640" w:firstLineChars="200"/>
        <w:rPr>
          <w:rFonts w:hint="eastAsia" w:ascii="仿宋_GB2312" w:eastAsia="仿宋_GB2312" w:cs="方正仿宋_GBK"/>
          <w:sz w:val="32"/>
          <w:szCs w:val="32"/>
          <w:lang w:eastAsia="zh-CN"/>
        </w:rPr>
      </w:pPr>
      <w:r>
        <w:rPr>
          <w:rFonts w:hint="eastAsia" w:ascii="仿宋_GB2312" w:eastAsia="仿宋_GB2312" w:cs="方正仿宋_GBK"/>
          <w:sz w:val="32"/>
          <w:szCs w:val="32"/>
        </w:rPr>
        <w:t>镇</w:t>
      </w:r>
      <w:r>
        <w:rPr>
          <w:rFonts w:hint="eastAsia" w:ascii="仿宋_GB2312" w:eastAsia="仿宋_GB2312" w:cs="方正仿宋_GBK"/>
          <w:sz w:val="32"/>
          <w:szCs w:val="32"/>
          <w:lang w:eastAsia="zh-CN"/>
        </w:rPr>
        <w:t>农业服务中心</w:t>
      </w:r>
      <w:r>
        <w:rPr>
          <w:rFonts w:hint="eastAsia" w:ascii="仿宋_GB2312" w:eastAsia="仿宋_GB2312" w:cs="方正仿宋_GBK"/>
          <w:sz w:val="32"/>
          <w:szCs w:val="32"/>
        </w:rPr>
        <w:t>的主要职责是：开展农业技术和农机技术推广、服务，引导农业产业结构调整，推进农业产业化经营；承担林业技术推广、林业发展、护林防火和退耕还林管理；负责畜牧技术推广、服务，开展畜牧业生产统计工作，协助开展兽药、饲料的日常管理；负责动物疫病的防控，协助开展动物及动物产品的检疫，实施动物疫情调查、动物疫病监测、动物疫情报告；承担农作物的病、虫、害防治和农产品质量安全、农机安全管理工作；负责水产技术推广工作；负责农业信息服务和灾害防治工作；开展农村土地流转服务工作</w:t>
      </w:r>
      <w:r>
        <w:rPr>
          <w:rFonts w:hint="eastAsia" w:ascii="仿宋_GB2312" w:eastAsia="仿宋_GB2312" w:cs="方正仿宋_GBK"/>
          <w:sz w:val="32"/>
          <w:szCs w:val="32"/>
          <w:lang w:eastAsia="zh-CN"/>
        </w:rPr>
        <w:t>。</w:t>
      </w:r>
    </w:p>
    <w:p>
      <w:pPr>
        <w:spacing w:line="600" w:lineRule="exact"/>
        <w:ind w:left="640"/>
        <w:rPr>
          <w:rFonts w:eastAsia="方正仿宋_GBK"/>
          <w:sz w:val="32"/>
        </w:rPr>
      </w:pPr>
      <w:r>
        <w:rPr>
          <w:rFonts w:eastAsia="方正黑体_GBK"/>
          <w:sz w:val="32"/>
        </w:rPr>
        <w:t>二、</w:t>
      </w:r>
      <w:r>
        <w:rPr>
          <w:rFonts w:hint="eastAsia" w:eastAsia="方正黑体_GBK"/>
          <w:sz w:val="32"/>
          <w:lang w:eastAsia="zh-CN"/>
        </w:rPr>
        <w:t>单位</w:t>
      </w:r>
      <w:r>
        <w:rPr>
          <w:rFonts w:eastAsia="方正黑体_GBK"/>
          <w:sz w:val="32"/>
        </w:rPr>
        <w:t>收支总体情况</w:t>
      </w:r>
    </w:p>
    <w:p>
      <w:pPr>
        <w:spacing w:line="600" w:lineRule="exact"/>
        <w:ind w:firstLine="640" w:firstLineChars="200"/>
        <w:rPr>
          <w:rFonts w:hint="eastAsia" w:eastAsia="仿宋_GB2312"/>
          <w:sz w:val="32"/>
          <w:lang w:eastAsia="zh-CN"/>
        </w:rPr>
      </w:pPr>
      <w:r>
        <w:rPr>
          <w:rFonts w:eastAsia="方正楷体_GBK"/>
          <w:sz w:val="32"/>
        </w:rPr>
        <w:t>（一）收入预算</w:t>
      </w:r>
      <w:r>
        <w:rPr>
          <w:rFonts w:eastAsia="方正仿宋_GBK"/>
          <w:sz w:val="32"/>
        </w:rPr>
        <w:t>：2022年年初预算数</w:t>
      </w:r>
      <w:r>
        <w:rPr>
          <w:rFonts w:hint="eastAsia" w:eastAsia="方正仿宋_GBK"/>
          <w:sz w:val="32"/>
          <w:lang w:val="en-US" w:eastAsia="zh-CN"/>
        </w:rPr>
        <w:t>352.83</w:t>
      </w:r>
      <w:r>
        <w:rPr>
          <w:rFonts w:eastAsia="方正仿宋_GBK"/>
          <w:sz w:val="32"/>
        </w:rPr>
        <w:t>万元，其中：一般公共预算拨款</w:t>
      </w:r>
      <w:r>
        <w:rPr>
          <w:rFonts w:hint="eastAsia" w:eastAsia="方正仿宋_GBK"/>
          <w:sz w:val="32"/>
          <w:lang w:val="en-US" w:eastAsia="zh-CN"/>
        </w:rPr>
        <w:t>352.83</w:t>
      </w:r>
      <w:r>
        <w:rPr>
          <w:rFonts w:eastAsia="方正仿宋_GBK"/>
          <w:sz w:val="32"/>
        </w:rPr>
        <w:t>万元</w:t>
      </w:r>
      <w:r>
        <w:rPr>
          <w:rFonts w:hint="eastAsia" w:eastAsia="方正仿宋_GBK"/>
          <w:sz w:val="32"/>
          <w:lang w:eastAsia="zh-CN"/>
        </w:rPr>
        <w:t>。</w:t>
      </w:r>
      <w:r>
        <w:rPr>
          <w:rFonts w:eastAsia="方正仿宋_GBK"/>
          <w:sz w:val="32"/>
        </w:rPr>
        <w:t>收入较2021年增加</w:t>
      </w:r>
      <w:r>
        <w:rPr>
          <w:rFonts w:hint="eastAsia" w:eastAsia="方正仿宋_GBK"/>
          <w:sz w:val="32"/>
          <w:lang w:val="en-US" w:eastAsia="zh-CN"/>
        </w:rPr>
        <w:t>26.85</w:t>
      </w:r>
      <w:r>
        <w:rPr>
          <w:rFonts w:eastAsia="方正仿宋_GBK"/>
          <w:sz w:val="32"/>
        </w:rPr>
        <w:t>万元，</w:t>
      </w:r>
      <w:r>
        <w:rPr>
          <w:rFonts w:hint="eastAsia" w:ascii="仿宋_GB2312" w:eastAsia="仿宋_GB2312"/>
          <w:sz w:val="32"/>
          <w:szCs w:val="32"/>
        </w:rPr>
        <w:t>主要原因是工资正常晋升、公用经费调整等，主要用于保障在职人员工资福利及社会保险缴费，</w:t>
      </w:r>
      <w:r>
        <w:rPr>
          <w:rFonts w:hint="eastAsia" w:ascii="仿宋_GB2312" w:eastAsia="仿宋_GB2312"/>
          <w:sz w:val="32"/>
          <w:szCs w:val="32"/>
          <w:lang w:eastAsia="zh-CN"/>
        </w:rPr>
        <w:t>退休</w:t>
      </w:r>
      <w:r>
        <w:rPr>
          <w:rFonts w:hint="eastAsia" w:ascii="仿宋_GB2312" w:eastAsia="仿宋_GB2312"/>
          <w:sz w:val="32"/>
          <w:szCs w:val="32"/>
        </w:rPr>
        <w:t>人员健康修养费，保障</w:t>
      </w:r>
      <w:r>
        <w:rPr>
          <w:rFonts w:hint="eastAsia" w:ascii="仿宋_GB2312" w:eastAsia="仿宋_GB2312"/>
          <w:sz w:val="32"/>
          <w:szCs w:val="32"/>
          <w:lang w:eastAsia="zh-CN"/>
        </w:rPr>
        <w:t>单位</w:t>
      </w:r>
      <w:r>
        <w:rPr>
          <w:rFonts w:hint="eastAsia" w:ascii="仿宋_GB2312" w:eastAsia="仿宋_GB2312"/>
          <w:sz w:val="32"/>
          <w:szCs w:val="32"/>
        </w:rPr>
        <w:t>正常运转的各项商品服务支出</w:t>
      </w:r>
      <w:r>
        <w:rPr>
          <w:rFonts w:hint="eastAsia" w:ascii="仿宋_GB2312" w:eastAsia="仿宋_GB2312"/>
          <w:sz w:val="32"/>
          <w:szCs w:val="32"/>
          <w:lang w:eastAsia="zh-CN"/>
        </w:rPr>
        <w:t>。</w:t>
      </w:r>
    </w:p>
    <w:p>
      <w:pPr>
        <w:spacing w:line="600" w:lineRule="exact"/>
        <w:ind w:firstLine="640" w:firstLineChars="200"/>
        <w:rPr>
          <w:rFonts w:hint="eastAsia" w:eastAsia="方正仿宋_GBK"/>
          <w:sz w:val="32"/>
          <w:lang w:eastAsia="zh-CN"/>
        </w:rPr>
      </w:pPr>
      <w:r>
        <w:rPr>
          <w:rFonts w:eastAsia="方正楷体_GBK"/>
          <w:sz w:val="32"/>
        </w:rPr>
        <w:t>（二）支出预算</w:t>
      </w:r>
      <w:r>
        <w:rPr>
          <w:rFonts w:eastAsia="方正仿宋_GBK"/>
          <w:sz w:val="32"/>
        </w:rPr>
        <w:t>：2022年年初预算数</w:t>
      </w:r>
      <w:r>
        <w:rPr>
          <w:rFonts w:hint="eastAsia" w:eastAsia="方正仿宋_GBK"/>
          <w:sz w:val="32"/>
          <w:lang w:val="en-US" w:eastAsia="zh-CN"/>
        </w:rPr>
        <w:t>352.83</w:t>
      </w:r>
      <w:r>
        <w:rPr>
          <w:rFonts w:eastAsia="方正仿宋_GBK"/>
          <w:sz w:val="32"/>
        </w:rPr>
        <w:t>万元，其中：</w:t>
      </w:r>
      <w:r>
        <w:rPr>
          <w:rFonts w:hint="eastAsia" w:eastAsia="方正仿宋_GBK"/>
          <w:sz w:val="32"/>
        </w:rPr>
        <w:t>社会保障和就业支出</w:t>
      </w:r>
      <w:r>
        <w:rPr>
          <w:rFonts w:hint="eastAsia" w:eastAsia="方正仿宋_GBK"/>
          <w:sz w:val="32"/>
          <w:lang w:eastAsia="zh-CN"/>
        </w:rPr>
        <w:t>预算</w:t>
      </w:r>
      <w:r>
        <w:rPr>
          <w:rFonts w:hint="eastAsia" w:eastAsia="方正仿宋_GBK"/>
          <w:sz w:val="32"/>
          <w:lang w:val="en-US" w:eastAsia="zh-CN"/>
        </w:rPr>
        <w:t>61.93</w:t>
      </w:r>
      <w:r>
        <w:rPr>
          <w:rFonts w:eastAsia="方正仿宋_GBK"/>
          <w:sz w:val="32"/>
        </w:rPr>
        <w:t>万元，</w:t>
      </w:r>
      <w:r>
        <w:rPr>
          <w:rFonts w:hint="eastAsia" w:eastAsia="方正仿宋_GBK"/>
          <w:sz w:val="32"/>
          <w:lang w:eastAsia="zh-CN"/>
        </w:rPr>
        <w:t>卫生健康支出预算</w:t>
      </w:r>
      <w:r>
        <w:rPr>
          <w:rFonts w:hint="eastAsia" w:eastAsia="方正仿宋_GBK"/>
          <w:sz w:val="32"/>
          <w:lang w:val="en-US" w:eastAsia="zh-CN"/>
        </w:rPr>
        <w:t>16.96</w:t>
      </w:r>
      <w:r>
        <w:rPr>
          <w:rFonts w:eastAsia="方正仿宋_GBK"/>
          <w:sz w:val="32"/>
        </w:rPr>
        <w:t>万元，</w:t>
      </w:r>
      <w:r>
        <w:rPr>
          <w:rFonts w:hint="eastAsia" w:eastAsia="方正仿宋_GBK"/>
          <w:sz w:val="32"/>
        </w:rPr>
        <w:t>农林水支出</w:t>
      </w:r>
      <w:r>
        <w:rPr>
          <w:rFonts w:eastAsia="方正仿宋_GBK"/>
          <w:sz w:val="32"/>
        </w:rPr>
        <w:t>预算</w:t>
      </w:r>
      <w:r>
        <w:rPr>
          <w:rFonts w:hint="eastAsia" w:eastAsia="方正仿宋_GBK"/>
          <w:sz w:val="32"/>
          <w:lang w:val="en-US" w:eastAsia="zh-CN"/>
        </w:rPr>
        <w:t>258.5</w:t>
      </w:r>
      <w:r>
        <w:rPr>
          <w:rFonts w:eastAsia="方正仿宋_GBK"/>
          <w:sz w:val="32"/>
        </w:rPr>
        <w:t>万元，</w:t>
      </w:r>
      <w:r>
        <w:rPr>
          <w:rFonts w:hint="eastAsia" w:eastAsia="方正仿宋_GBK"/>
          <w:sz w:val="32"/>
        </w:rPr>
        <w:t>住房保障支出</w:t>
      </w:r>
      <w:r>
        <w:rPr>
          <w:rFonts w:eastAsia="方正仿宋_GBK"/>
          <w:sz w:val="32"/>
        </w:rPr>
        <w:t>预算</w:t>
      </w:r>
      <w:r>
        <w:rPr>
          <w:rFonts w:hint="eastAsia" w:eastAsia="方正仿宋_GBK"/>
          <w:sz w:val="32"/>
          <w:lang w:val="en-US" w:eastAsia="zh-CN"/>
        </w:rPr>
        <w:t>15.44</w:t>
      </w:r>
      <w:r>
        <w:rPr>
          <w:rFonts w:eastAsia="方正仿宋_GBK"/>
          <w:sz w:val="32"/>
        </w:rPr>
        <w:t>万元</w:t>
      </w:r>
      <w:r>
        <w:rPr>
          <w:rFonts w:hint="eastAsia" w:eastAsia="方正仿宋_GBK"/>
          <w:sz w:val="32"/>
          <w:lang w:eastAsia="zh-CN"/>
        </w:rPr>
        <w:t>。</w:t>
      </w:r>
    </w:p>
    <w:p>
      <w:pPr>
        <w:spacing w:line="600" w:lineRule="exact"/>
        <w:ind w:left="640"/>
        <w:rPr>
          <w:rFonts w:eastAsia="方正黑体_GBK"/>
          <w:sz w:val="32"/>
        </w:rPr>
      </w:pPr>
      <w:r>
        <w:rPr>
          <w:rFonts w:eastAsia="方正黑体_GBK"/>
          <w:sz w:val="32"/>
        </w:rPr>
        <w:t>三、</w:t>
      </w:r>
      <w:r>
        <w:rPr>
          <w:rFonts w:hint="eastAsia" w:eastAsia="方正黑体_GBK"/>
          <w:sz w:val="32"/>
          <w:lang w:eastAsia="zh-CN"/>
        </w:rPr>
        <w:t>单位</w:t>
      </w:r>
      <w:r>
        <w:rPr>
          <w:rFonts w:eastAsia="方正黑体_GBK"/>
          <w:sz w:val="32"/>
        </w:rPr>
        <w:t>预算情况说明</w:t>
      </w:r>
    </w:p>
    <w:p>
      <w:pPr>
        <w:spacing w:line="600" w:lineRule="exact"/>
        <w:ind w:firstLine="640" w:firstLineChars="200"/>
        <w:rPr>
          <w:rFonts w:hint="eastAsia" w:eastAsia="方正仿宋_GBK"/>
          <w:sz w:val="32"/>
          <w:lang w:eastAsia="zh-CN"/>
        </w:rPr>
      </w:pPr>
      <w:r>
        <w:rPr>
          <w:rFonts w:eastAsia="方正仿宋_GBK"/>
          <w:sz w:val="32"/>
        </w:rPr>
        <w:t>2022年一般公共预算财政拨款收入</w:t>
      </w:r>
      <w:r>
        <w:rPr>
          <w:rFonts w:hint="eastAsia" w:eastAsia="方正仿宋_GBK"/>
          <w:sz w:val="32"/>
          <w:lang w:val="en-US" w:eastAsia="zh-CN"/>
        </w:rPr>
        <w:t>352.83</w:t>
      </w:r>
      <w:r>
        <w:rPr>
          <w:rFonts w:eastAsia="方正仿宋_GBK"/>
          <w:sz w:val="32"/>
        </w:rPr>
        <w:t>万元，一般公共预算财政拨款支出</w:t>
      </w:r>
      <w:r>
        <w:rPr>
          <w:rFonts w:hint="eastAsia" w:eastAsia="方正仿宋_GBK"/>
          <w:sz w:val="32"/>
          <w:lang w:val="en-US" w:eastAsia="zh-CN"/>
        </w:rPr>
        <w:t>352.83</w:t>
      </w:r>
      <w:r>
        <w:rPr>
          <w:rFonts w:eastAsia="方正仿宋_GBK"/>
          <w:sz w:val="32"/>
        </w:rPr>
        <w:t>万元，比2021年增加</w:t>
      </w:r>
      <w:r>
        <w:rPr>
          <w:rFonts w:hint="eastAsia" w:eastAsia="方正仿宋_GBK"/>
          <w:sz w:val="32"/>
          <w:lang w:val="en-US" w:eastAsia="zh-CN"/>
        </w:rPr>
        <w:t>26.85</w:t>
      </w:r>
      <w:r>
        <w:rPr>
          <w:rFonts w:eastAsia="方正仿宋_GBK"/>
          <w:sz w:val="32"/>
        </w:rPr>
        <w:t>万元。其中：基本支出</w:t>
      </w:r>
      <w:r>
        <w:rPr>
          <w:rFonts w:hint="eastAsia" w:eastAsia="方正仿宋_GBK"/>
          <w:sz w:val="32"/>
          <w:lang w:val="en-US" w:eastAsia="zh-CN"/>
        </w:rPr>
        <w:t>350.9</w:t>
      </w:r>
      <w:r>
        <w:rPr>
          <w:rFonts w:eastAsia="方正仿宋_GBK"/>
          <w:sz w:val="32"/>
        </w:rPr>
        <w:t>万元，比2021年增加</w:t>
      </w:r>
      <w:r>
        <w:rPr>
          <w:rFonts w:hint="eastAsia" w:eastAsia="方正仿宋_GBK"/>
          <w:sz w:val="32"/>
          <w:lang w:val="en-US" w:eastAsia="zh-CN"/>
        </w:rPr>
        <w:t>26.78</w:t>
      </w:r>
      <w:r>
        <w:rPr>
          <w:rFonts w:eastAsia="方正仿宋_GBK"/>
          <w:sz w:val="32"/>
        </w:rPr>
        <w:t>万元，主要原因是</w:t>
      </w:r>
      <w:r>
        <w:rPr>
          <w:rFonts w:hint="eastAsia" w:eastAsia="方正仿宋_GBK"/>
          <w:sz w:val="32"/>
          <w:lang w:eastAsia="zh-CN"/>
        </w:rPr>
        <w:t>公用经费调整</w:t>
      </w:r>
      <w:r>
        <w:rPr>
          <w:rFonts w:eastAsia="方正仿宋_GBK"/>
          <w:sz w:val="32"/>
        </w:rPr>
        <w:t>等，主要用于保障在职人员工资福利及社会保险缴费，退休人员补助等，保障</w:t>
      </w:r>
      <w:r>
        <w:rPr>
          <w:rFonts w:hint="eastAsia" w:eastAsia="方正仿宋_GBK"/>
          <w:sz w:val="32"/>
          <w:lang w:eastAsia="zh-CN"/>
        </w:rPr>
        <w:t>单位</w:t>
      </w:r>
      <w:r>
        <w:rPr>
          <w:rFonts w:eastAsia="方正仿宋_GBK"/>
          <w:sz w:val="32"/>
        </w:rPr>
        <w:t>正常运转的各项商品服务支出；项目支出</w:t>
      </w:r>
      <w:r>
        <w:rPr>
          <w:rFonts w:hint="eastAsia" w:eastAsia="方正仿宋_GBK"/>
          <w:sz w:val="32"/>
          <w:lang w:val="en-US" w:eastAsia="zh-CN"/>
        </w:rPr>
        <w:t>1.87</w:t>
      </w:r>
      <w:r>
        <w:rPr>
          <w:rFonts w:eastAsia="方正仿宋_GBK"/>
          <w:sz w:val="32"/>
        </w:rPr>
        <w:t>万元，</w:t>
      </w:r>
      <w:r>
        <w:rPr>
          <w:rFonts w:hint="eastAsia" w:eastAsia="方正仿宋_GBK"/>
          <w:sz w:val="32"/>
          <w:lang w:eastAsia="zh-CN"/>
        </w:rPr>
        <w:t>与</w:t>
      </w:r>
      <w:r>
        <w:rPr>
          <w:rFonts w:eastAsia="方正仿宋_GBK"/>
          <w:sz w:val="32"/>
        </w:rPr>
        <w:t>2021年</w:t>
      </w:r>
      <w:r>
        <w:rPr>
          <w:rFonts w:hint="eastAsia" w:eastAsia="方正仿宋_GBK"/>
          <w:sz w:val="32"/>
          <w:lang w:eastAsia="zh-CN"/>
        </w:rPr>
        <w:t>持平。</w:t>
      </w:r>
    </w:p>
    <w:p>
      <w:pPr>
        <w:spacing w:line="600" w:lineRule="exact"/>
        <w:ind w:firstLine="640" w:firstLineChars="200"/>
        <w:rPr>
          <w:rFonts w:hint="eastAsia" w:eastAsia="方正仿宋_GBK"/>
          <w:sz w:val="32"/>
          <w:lang w:eastAsia="zh-CN"/>
        </w:rPr>
      </w:pPr>
      <w:r>
        <w:rPr>
          <w:rFonts w:hint="eastAsia" w:eastAsia="方正仿宋_GBK"/>
          <w:sz w:val="32"/>
          <w:lang w:eastAsia="zh-CN"/>
        </w:rPr>
        <w:t>重庆市梁平区屏锦镇农业服务中心</w:t>
      </w:r>
      <w:r>
        <w:rPr>
          <w:rFonts w:eastAsia="方正仿宋_GBK"/>
          <w:sz w:val="32"/>
        </w:rPr>
        <w:t>2022年无使用政府性基金预算拨款安排的支出</w:t>
      </w:r>
      <w:r>
        <w:rPr>
          <w:rFonts w:hint="eastAsia" w:eastAsia="方正仿宋_GBK"/>
          <w:sz w:val="32"/>
          <w:lang w:eastAsia="zh-CN"/>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00"/>
        <w:rPr>
          <w:rFonts w:hint="default" w:eastAsia="方正仿宋_GBK"/>
          <w:sz w:val="32"/>
          <w:lang w:val="en-US" w:eastAsia="zh-CN"/>
        </w:rPr>
      </w:pPr>
      <w:r>
        <w:rPr>
          <w:rFonts w:hint="eastAsia" w:eastAsia="方正仿宋_GBK"/>
          <w:sz w:val="32"/>
          <w:lang w:eastAsia="zh-CN"/>
        </w:rPr>
        <w:t>重庆市梁平区屏锦镇农业服务中心</w:t>
      </w:r>
      <w:r>
        <w:rPr>
          <w:rFonts w:hint="eastAsia" w:eastAsia="方正仿宋_GBK"/>
          <w:sz w:val="32"/>
          <w:lang w:val="en-US" w:eastAsia="zh-CN"/>
        </w:rPr>
        <w:t>2022年未预算“三公”经费。</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hint="eastAsia" w:eastAsia="方正仿宋_GBK"/>
          <w:sz w:val="32"/>
          <w:lang w:eastAsia="zh-CN"/>
        </w:rPr>
      </w:pPr>
      <w:r>
        <w:rPr>
          <w:rFonts w:eastAsia="方正仿宋_GBK"/>
          <w:sz w:val="32"/>
        </w:rPr>
        <w:t>1、</w:t>
      </w:r>
      <w:r>
        <w:rPr>
          <w:rFonts w:hint="eastAsia" w:eastAsia="方正仿宋_GBK"/>
          <w:sz w:val="32"/>
          <w:lang w:eastAsia="zh-CN"/>
        </w:rPr>
        <w:t>事业</w:t>
      </w:r>
      <w:r>
        <w:rPr>
          <w:rFonts w:eastAsia="方正仿宋_GBK"/>
          <w:sz w:val="32"/>
        </w:rPr>
        <w:t>运行经费。2022年一般公共预算财政拨款运行经费</w:t>
      </w:r>
      <w:r>
        <w:rPr>
          <w:rFonts w:hint="eastAsia" w:eastAsia="方正仿宋_GBK"/>
          <w:sz w:val="32"/>
          <w:lang w:val="en-US" w:eastAsia="zh-CN"/>
        </w:rPr>
        <w:t>30.25</w:t>
      </w:r>
      <w:r>
        <w:rPr>
          <w:rFonts w:eastAsia="方正仿宋_GBK"/>
          <w:sz w:val="32"/>
        </w:rPr>
        <w:t>万元</w:t>
      </w:r>
      <w:r>
        <w:rPr>
          <w:rFonts w:hint="eastAsia" w:eastAsia="方正仿宋_GBK"/>
          <w:sz w:val="32"/>
          <w:lang w:eastAsia="zh-CN"/>
        </w:rPr>
        <w:t>。</w:t>
      </w:r>
    </w:p>
    <w:p>
      <w:pPr>
        <w:ind w:firstLine="640" w:firstLineChars="200"/>
        <w:rPr>
          <w:rFonts w:hint="eastAsia" w:eastAsia="方正仿宋_GBK"/>
          <w:sz w:val="32"/>
          <w:lang w:eastAsia="zh-CN"/>
        </w:rPr>
      </w:pPr>
      <w:r>
        <w:rPr>
          <w:rFonts w:eastAsia="方正仿宋_GBK"/>
          <w:sz w:val="32"/>
        </w:rPr>
        <w:t>2、政府采购情况。</w:t>
      </w:r>
      <w:r>
        <w:rPr>
          <w:rFonts w:hint="eastAsia" w:eastAsia="方正仿宋_GBK"/>
          <w:sz w:val="32"/>
          <w:lang w:eastAsia="zh-CN"/>
        </w:rPr>
        <w:t>本</w:t>
      </w:r>
      <w:r>
        <w:rPr>
          <w:rFonts w:eastAsia="方正仿宋_GBK"/>
          <w:sz w:val="32"/>
        </w:rPr>
        <w:t>单位政府采购</w:t>
      </w:r>
      <w:r>
        <w:rPr>
          <w:rFonts w:hint="eastAsia" w:eastAsia="方正仿宋_GBK"/>
          <w:sz w:val="32"/>
          <w:lang w:eastAsia="zh-CN"/>
        </w:rPr>
        <w:t>未进行</w:t>
      </w:r>
      <w:r>
        <w:rPr>
          <w:rFonts w:eastAsia="方正仿宋_GBK"/>
          <w:sz w:val="32"/>
        </w:rPr>
        <w:t>预算</w:t>
      </w:r>
      <w:r>
        <w:rPr>
          <w:rFonts w:hint="eastAsia" w:eastAsia="方正仿宋_GBK"/>
          <w:sz w:val="32"/>
          <w:lang w:eastAsia="zh-CN"/>
        </w:rPr>
        <w:t>。</w:t>
      </w:r>
    </w:p>
    <w:p>
      <w:pPr>
        <w:ind w:firstLine="640" w:firstLineChars="200"/>
        <w:rPr>
          <w:rFonts w:eastAsia="方正仿宋_GBK"/>
          <w:color w:val="000000"/>
          <w:sz w:val="32"/>
        </w:rPr>
      </w:pPr>
      <w:r>
        <w:rPr>
          <w:rFonts w:eastAsia="方正仿宋_GBK"/>
          <w:sz w:val="32"/>
        </w:rPr>
        <w:t>3、绩效目标设置情况。</w:t>
      </w:r>
      <w:r>
        <w:rPr>
          <w:rFonts w:eastAsia="方正仿宋_GBK"/>
          <w:color w:val="000000"/>
          <w:sz w:val="32"/>
        </w:rPr>
        <w:t>2022年项目支出均实行了绩效目标管理，涉及一般公共预算当年财政拨款</w:t>
      </w:r>
      <w:r>
        <w:rPr>
          <w:rFonts w:hint="eastAsia" w:eastAsia="方正仿宋_GBK"/>
          <w:sz w:val="32"/>
          <w:lang w:val="en-US" w:eastAsia="zh-CN"/>
        </w:rPr>
        <w:t>1.86</w:t>
      </w:r>
      <w:r>
        <w:rPr>
          <w:rFonts w:eastAsia="方正仿宋_GBK"/>
          <w:color w:val="000000"/>
          <w:sz w:val="32"/>
        </w:rPr>
        <w:t>万元。</w:t>
      </w:r>
    </w:p>
    <w:p>
      <w:pPr>
        <w:ind w:firstLine="640" w:firstLineChars="200"/>
        <w:rPr>
          <w:rFonts w:eastAsia="方正仿宋_GBK"/>
          <w:color w:val="000000"/>
          <w:sz w:val="32"/>
        </w:rPr>
      </w:pPr>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2021年12月，</w:t>
      </w:r>
      <w:r>
        <w:rPr>
          <w:rFonts w:hint="eastAsia" w:eastAsia="方正仿宋_GBK"/>
          <w:color w:val="000000"/>
          <w:sz w:val="32"/>
          <w:lang w:eastAsia="zh-CN"/>
        </w:rPr>
        <w:t>本</w:t>
      </w:r>
      <w:r>
        <w:rPr>
          <w:rFonts w:eastAsia="方正仿宋_GBK"/>
          <w:color w:val="000000"/>
          <w:sz w:val="32"/>
        </w:rPr>
        <w:t>预算单位共</w:t>
      </w:r>
      <w:r>
        <w:rPr>
          <w:rFonts w:hint="eastAsia" w:eastAsia="方正仿宋_GBK"/>
          <w:color w:val="000000"/>
          <w:sz w:val="32"/>
          <w:lang w:eastAsia="zh-CN"/>
        </w:rPr>
        <w:t>无车辆，</w:t>
      </w:r>
      <w:bookmarkStart w:id="0" w:name="_GoBack"/>
      <w:bookmarkEnd w:id="0"/>
      <w:r>
        <w:rPr>
          <w:rFonts w:eastAsia="方正仿宋_GBK"/>
          <w:color w:val="000000"/>
          <w:sz w:val="32"/>
        </w:rPr>
        <w:t>2022年一般公共预算安排购置车辆</w:t>
      </w:r>
      <w:r>
        <w:rPr>
          <w:rFonts w:hint="eastAsia" w:eastAsia="方正仿宋_GBK"/>
          <w:sz w:val="32"/>
          <w:lang w:val="en-US" w:eastAsia="zh-CN"/>
        </w:rPr>
        <w:t>0</w:t>
      </w:r>
      <w:r>
        <w:rPr>
          <w:rFonts w:eastAsia="方正仿宋_GBK"/>
          <w:color w:val="000000"/>
          <w:sz w:val="32"/>
        </w:rPr>
        <w:t>辆</w:t>
      </w:r>
      <w:r>
        <w:rPr>
          <w:rFonts w:hint="eastAsia" w:eastAsia="方正仿宋_GBK"/>
          <w:color w:val="000000"/>
          <w:sz w:val="32"/>
          <w:lang w:eastAsia="zh-CN"/>
        </w:rPr>
        <w:t>。</w:t>
      </w:r>
    </w:p>
    <w:p>
      <w:pPr>
        <w:spacing w:line="600" w:lineRule="exact"/>
        <w:ind w:firstLine="640" w:firstLineChars="200"/>
        <w:rPr>
          <w:rFonts w:eastAsia="方正黑体_GBK"/>
          <w:sz w:val="32"/>
        </w:rPr>
      </w:pPr>
      <w:r>
        <w:rPr>
          <w:rFonts w:eastAsia="方正黑体_GBK"/>
          <w:sz w:val="32"/>
        </w:rPr>
        <w:t>六、专业性名词解释（纳入向社会公开范围的部门必须填写！）</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color w:val="000000"/>
          <w:sz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b/>
          <w:sz w:val="32"/>
        </w:rPr>
      </w:pPr>
    </w:p>
    <w:p>
      <w:pPr>
        <w:jc w:val="right"/>
        <w:rPr>
          <w:rFonts w:hint="eastAsia" w:eastAsia="方正仿宋_GBK"/>
          <w:b/>
          <w:sz w:val="32"/>
          <w:lang w:eastAsia="zh-CN"/>
        </w:rPr>
      </w:pPr>
      <w:r>
        <w:rPr>
          <w:rFonts w:eastAsia="方正仿宋_GBK"/>
          <w:b/>
          <w:sz w:val="32"/>
        </w:rPr>
        <w:t>部门（单位）预算公开联系人：</w:t>
      </w:r>
      <w:r>
        <w:rPr>
          <w:rFonts w:hint="eastAsia" w:eastAsia="方正仿宋_GBK"/>
          <w:b/>
          <w:sz w:val="32"/>
          <w:lang w:eastAsia="zh-CN"/>
        </w:rPr>
        <w:t>周可</w:t>
      </w:r>
    </w:p>
    <w:p>
      <w:pPr>
        <w:jc w:val="right"/>
        <w:rPr>
          <w:rFonts w:hint="default" w:eastAsia="方正仿宋_GBK"/>
          <w:b/>
          <w:sz w:val="32"/>
          <w:lang w:val="en-US" w:eastAsia="zh-CN"/>
        </w:rPr>
      </w:pPr>
      <w:r>
        <w:rPr>
          <w:rFonts w:eastAsia="方正仿宋_GBK"/>
          <w:b/>
          <w:sz w:val="32"/>
        </w:rPr>
        <w:t>联系方式：</w:t>
      </w:r>
      <w:r>
        <w:rPr>
          <w:rFonts w:hint="eastAsia" w:eastAsia="方正仿宋_GBK"/>
          <w:b/>
          <w:sz w:val="32"/>
          <w:lang w:val="en-US" w:eastAsia="zh-CN"/>
        </w:rPr>
        <w:t>17823095564</w:t>
      </w: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64EFE"/>
    <w:rsid w:val="28A57728"/>
    <w:rsid w:val="354E6ED1"/>
    <w:rsid w:val="35B15C96"/>
    <w:rsid w:val="38A64EFE"/>
    <w:rsid w:val="50987457"/>
    <w:rsid w:val="5A51414E"/>
    <w:rsid w:val="7536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2022-02-10T03:00:00Z</dcterms:created>
  <dc:creator>皮蛋瘦肉周</dc:creator>
  <cp:lastModifiedBy>皮蛋瘦肉周</cp:lastModifiedBy>
  <dcterms:modified xsi:type="dcterms:W3CDTF">2022-02-10T11:13:48Z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56EEE9051B6B45748733C36F838F07EA</vt:lpwstr>
  </property>
</Properties>
</file>