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_GBK"/>
          <w:spacing w:val="-8"/>
          <w:sz w:val="40"/>
          <w:szCs w:val="40"/>
          <w:lang w:eastAsia="zh-CN"/>
        </w:rPr>
      </w:pPr>
      <w:r>
        <w:rPr>
          <w:rFonts w:hint="eastAsia" w:eastAsia="方正小标宋_GBK"/>
          <w:spacing w:val="-8"/>
          <w:sz w:val="40"/>
          <w:szCs w:val="40"/>
          <w:lang w:eastAsia="zh-CN"/>
        </w:rPr>
        <w:t>重庆市梁平区屏锦镇综合行政执法大队</w:t>
      </w:r>
    </w:p>
    <w:p>
      <w:pPr>
        <w:spacing w:line="600" w:lineRule="exact"/>
        <w:jc w:val="center"/>
        <w:rPr>
          <w:rFonts w:eastAsia="方正小标宋_GBK"/>
          <w:spacing w:val="-8"/>
          <w:sz w:val="40"/>
          <w:szCs w:val="40"/>
        </w:rPr>
      </w:pPr>
      <w:r>
        <w:rPr>
          <w:rFonts w:eastAsia="方正小标宋_GBK"/>
          <w:spacing w:val="-8"/>
          <w:sz w:val="40"/>
          <w:szCs w:val="40"/>
        </w:rPr>
        <w:t>2022年部门预算情况说明</w:t>
      </w:r>
    </w:p>
    <w:p>
      <w:pPr>
        <w:spacing w:line="600" w:lineRule="exact"/>
        <w:ind w:firstLine="1040" w:firstLineChars="200"/>
        <w:jc w:val="center"/>
        <w:rPr>
          <w:rFonts w:eastAsia="华文中宋"/>
          <w:sz w:val="52"/>
          <w:szCs w:val="52"/>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hint="eastAsia" w:eastAsia="方正楷体_GBK"/>
          <w:sz w:val="32"/>
          <w:lang w:eastAsia="zh-CN"/>
        </w:rPr>
      </w:pPr>
      <w:r>
        <w:rPr>
          <w:rFonts w:eastAsia="方正楷体_GBK"/>
          <w:sz w:val="32"/>
        </w:rPr>
        <w:t>（一）职能职责</w:t>
      </w:r>
    </w:p>
    <w:p>
      <w:pPr>
        <w:spacing w:line="600" w:lineRule="exact"/>
        <w:ind w:firstLine="640" w:firstLineChars="200"/>
        <w:rPr>
          <w:rFonts w:hint="eastAsia" w:ascii="仿宋_GB2312" w:eastAsia="仿宋_GB2312" w:cs="方正仿宋_GBK"/>
          <w:sz w:val="32"/>
          <w:szCs w:val="32"/>
          <w:lang w:eastAsia="zh-CN"/>
        </w:rPr>
      </w:pPr>
      <w:r>
        <w:rPr>
          <w:rFonts w:hint="eastAsia" w:ascii="仿宋_GB2312" w:eastAsia="仿宋_GB2312" w:cs="方正仿宋_GBK"/>
          <w:sz w:val="32"/>
          <w:szCs w:val="32"/>
        </w:rPr>
        <w:t>镇</w:t>
      </w:r>
      <w:r>
        <w:rPr>
          <w:rFonts w:hint="eastAsia" w:ascii="仿宋_GB2312" w:eastAsia="仿宋_GB2312" w:cs="方正仿宋_GBK"/>
          <w:sz w:val="32"/>
          <w:szCs w:val="32"/>
          <w:lang w:eastAsia="zh-CN"/>
        </w:rPr>
        <w:t>综合行政执法大队</w:t>
      </w:r>
      <w:r>
        <w:rPr>
          <w:rFonts w:hint="eastAsia" w:ascii="仿宋_GB2312" w:eastAsia="仿宋_GB2312" w:cs="方正仿宋_GBK"/>
          <w:sz w:val="32"/>
          <w:szCs w:val="32"/>
        </w:rPr>
        <w:t>的主要职责是</w:t>
      </w:r>
      <w:r>
        <w:rPr>
          <w:rFonts w:hint="eastAsia" w:ascii="仿宋_GB2312" w:eastAsia="仿宋_GB2312" w:cs="方正仿宋_GBK"/>
          <w:sz w:val="32"/>
          <w:szCs w:val="32"/>
          <w:lang w:eastAsia="zh-CN"/>
        </w:rPr>
        <w:t>：</w:t>
      </w:r>
      <w:r>
        <w:rPr>
          <w:rFonts w:hint="eastAsia" w:ascii="仿宋_GB2312" w:eastAsia="仿宋_GB2312" w:cs="方正仿宋_GBK"/>
          <w:sz w:val="32"/>
          <w:szCs w:val="32"/>
        </w:rPr>
        <w:t>贯彻落实综合行政执法工作的有关规定；依据有关法律、法规和规章，组织起草本辖区实行综合行政执法领域相关方面的工作计划，并具体实施；依照农林水利管理方面法律、法规、规章的规定，对违反农业、农机、畜牧、林政、水保水政管理方面规定的行为行使行政处罚权；依照规划建设方面法律、法规、规章的规定，对违反城乡规划、建设管理规定的行为行使行政处罚权；依照城市管理方面法律、法规、规章的规定，对违反市政市容和环境卫生管理规定的行为行使行政处罚权；依照环境保护方面法律、法规、规章的规定，对违反的生态环境行为行使行政处罚权；依照卫生计生方面法律、法规、规章的规定，对违反卫生计生管理规定的行为行使行政处罚权；依照文化旅游方面法律、法规、规章的规定，对违反文化旅游管理规定的行为行使行政处罚权；依照民政管理方面法律、法规、规章的规定，对违反民政管理的行为行使行政处罚权；依照安全生产监督管理方面法律、法规、规章的规定，对违反安全生产监督管理规定的行为行使行政处罚权；依照劳动及社会保障方面法律、法规、规章的规定，对违反劳动及社会保障管理规定的行为行使行政处罚权；承担部门委托的其他行政处罚职责；配合区级执法部门开展联合执法、专项执法等工作。以上纳入综合执法的行政处罚、行政强制等具体执法事项通过权力清单和责任清单予以明确。</w:t>
      </w:r>
    </w:p>
    <w:p>
      <w:pPr>
        <w:spacing w:line="600" w:lineRule="exact"/>
        <w:ind w:left="640"/>
        <w:rPr>
          <w:rFonts w:eastAsia="方正仿宋_GBK"/>
          <w:sz w:val="32"/>
        </w:rPr>
      </w:pPr>
      <w:r>
        <w:rPr>
          <w:rFonts w:eastAsia="方正黑体_GBK"/>
          <w:sz w:val="32"/>
        </w:rPr>
        <w:t>二、</w:t>
      </w:r>
      <w:r>
        <w:rPr>
          <w:rFonts w:hint="eastAsia" w:eastAsia="方正黑体_GBK"/>
          <w:sz w:val="32"/>
          <w:lang w:eastAsia="zh-CN"/>
        </w:rPr>
        <w:t>单位</w:t>
      </w:r>
      <w:r>
        <w:rPr>
          <w:rFonts w:eastAsia="方正黑体_GBK"/>
          <w:sz w:val="32"/>
        </w:rPr>
        <w:t>收支总体情况</w:t>
      </w:r>
    </w:p>
    <w:p>
      <w:pPr>
        <w:spacing w:line="600" w:lineRule="exact"/>
        <w:ind w:firstLine="640" w:firstLineChars="200"/>
        <w:rPr>
          <w:rFonts w:hint="eastAsia" w:eastAsia="仿宋_GB2312"/>
          <w:sz w:val="32"/>
          <w:lang w:eastAsia="zh-CN"/>
        </w:rPr>
      </w:pPr>
      <w:r>
        <w:rPr>
          <w:rFonts w:eastAsia="方正楷体_GBK"/>
          <w:sz w:val="32"/>
        </w:rPr>
        <w:t>（一）收入预算</w:t>
      </w:r>
      <w:r>
        <w:rPr>
          <w:rFonts w:eastAsia="方正仿宋_GBK"/>
          <w:sz w:val="32"/>
        </w:rPr>
        <w:t>：2022年年初预算数</w:t>
      </w:r>
      <w:r>
        <w:rPr>
          <w:rFonts w:hint="eastAsia" w:eastAsia="方正仿宋_GBK"/>
          <w:sz w:val="32"/>
          <w:lang w:val="en-US" w:eastAsia="zh-CN"/>
        </w:rPr>
        <w:t>137.03</w:t>
      </w:r>
      <w:r>
        <w:rPr>
          <w:rFonts w:eastAsia="方正仿宋_GBK"/>
          <w:sz w:val="32"/>
        </w:rPr>
        <w:t>万元，其中：一般公共预算拨款</w:t>
      </w:r>
      <w:r>
        <w:rPr>
          <w:rFonts w:hint="eastAsia" w:eastAsia="方正仿宋_GBK"/>
          <w:sz w:val="32"/>
          <w:lang w:val="en-US" w:eastAsia="zh-CN"/>
        </w:rPr>
        <w:t>137.03</w:t>
      </w:r>
      <w:r>
        <w:rPr>
          <w:rFonts w:eastAsia="方正仿宋_GBK"/>
          <w:sz w:val="32"/>
        </w:rPr>
        <w:t>万元</w:t>
      </w:r>
      <w:r>
        <w:rPr>
          <w:rFonts w:hint="eastAsia" w:eastAsia="方正仿宋_GBK"/>
          <w:sz w:val="32"/>
          <w:lang w:eastAsia="zh-CN"/>
        </w:rPr>
        <w:t>。</w:t>
      </w:r>
      <w:r>
        <w:rPr>
          <w:rFonts w:eastAsia="方正仿宋_GBK"/>
          <w:sz w:val="32"/>
        </w:rPr>
        <w:t>收入较2021年</w:t>
      </w:r>
      <w:r>
        <w:rPr>
          <w:rFonts w:hint="eastAsia" w:eastAsia="方正仿宋_GBK"/>
          <w:sz w:val="32"/>
          <w:lang w:eastAsia="zh-CN"/>
        </w:rPr>
        <w:t>减少</w:t>
      </w:r>
      <w:r>
        <w:rPr>
          <w:rFonts w:hint="eastAsia" w:eastAsia="方正仿宋_GBK"/>
          <w:sz w:val="32"/>
          <w:lang w:val="en-US" w:eastAsia="zh-CN"/>
        </w:rPr>
        <w:t>7.36</w:t>
      </w:r>
      <w:r>
        <w:rPr>
          <w:rFonts w:eastAsia="方正仿宋_GBK"/>
          <w:sz w:val="32"/>
        </w:rPr>
        <w:t>万元，</w:t>
      </w:r>
      <w:r>
        <w:rPr>
          <w:rFonts w:hint="eastAsia" w:ascii="仿宋_GB2312" w:eastAsia="仿宋_GB2312"/>
          <w:sz w:val="32"/>
          <w:szCs w:val="32"/>
        </w:rPr>
        <w:t>主要原因是</w:t>
      </w:r>
      <w:r>
        <w:rPr>
          <w:rFonts w:hint="eastAsia" w:ascii="仿宋_GB2312" w:eastAsia="仿宋_GB2312"/>
          <w:sz w:val="32"/>
          <w:szCs w:val="32"/>
          <w:lang w:eastAsia="zh-CN"/>
        </w:rPr>
        <w:t>在职人员减少、公用经费调整等，</w:t>
      </w:r>
      <w:r>
        <w:rPr>
          <w:rFonts w:hint="eastAsia" w:ascii="仿宋_GB2312" w:eastAsia="仿宋_GB2312"/>
          <w:sz w:val="32"/>
          <w:szCs w:val="32"/>
        </w:rPr>
        <w:t>主要用于保障在职人员工资福利及社会保险缴费，保障</w:t>
      </w:r>
      <w:r>
        <w:rPr>
          <w:rFonts w:hint="eastAsia" w:ascii="仿宋_GB2312" w:eastAsia="仿宋_GB2312"/>
          <w:sz w:val="32"/>
          <w:szCs w:val="32"/>
          <w:lang w:eastAsia="zh-CN"/>
        </w:rPr>
        <w:t>单位</w:t>
      </w:r>
      <w:r>
        <w:rPr>
          <w:rFonts w:hint="eastAsia" w:ascii="仿宋_GB2312" w:eastAsia="仿宋_GB2312"/>
          <w:sz w:val="32"/>
          <w:szCs w:val="32"/>
        </w:rPr>
        <w:t>正常运转的各项商品服务支出</w:t>
      </w:r>
      <w:r>
        <w:rPr>
          <w:rFonts w:hint="eastAsia" w:ascii="仿宋_GB2312" w:eastAsia="仿宋_GB2312"/>
          <w:sz w:val="32"/>
          <w:szCs w:val="32"/>
          <w:lang w:eastAsia="zh-CN"/>
        </w:rPr>
        <w:t>。</w:t>
      </w:r>
    </w:p>
    <w:p>
      <w:pPr>
        <w:spacing w:line="600" w:lineRule="exact"/>
        <w:ind w:firstLine="640" w:firstLineChars="200"/>
        <w:rPr>
          <w:rFonts w:hint="eastAsia" w:eastAsia="方正仿宋_GBK"/>
          <w:sz w:val="32"/>
          <w:lang w:eastAsia="zh-CN"/>
        </w:rPr>
      </w:pPr>
      <w:r>
        <w:rPr>
          <w:rFonts w:eastAsia="方正楷体_GBK"/>
          <w:sz w:val="32"/>
        </w:rPr>
        <w:t>（二）支出预算</w:t>
      </w:r>
      <w:r>
        <w:rPr>
          <w:rFonts w:eastAsia="方正仿宋_GBK"/>
          <w:sz w:val="32"/>
        </w:rPr>
        <w:t>：2022年年初预算数</w:t>
      </w:r>
      <w:r>
        <w:rPr>
          <w:rFonts w:hint="eastAsia" w:eastAsia="方正仿宋_GBK"/>
          <w:sz w:val="32"/>
          <w:lang w:val="en-US" w:eastAsia="zh-CN"/>
        </w:rPr>
        <w:t>137.03</w:t>
      </w:r>
      <w:r>
        <w:rPr>
          <w:rFonts w:eastAsia="方正仿宋_GBK"/>
          <w:sz w:val="32"/>
        </w:rPr>
        <w:t>万元，其中：</w:t>
      </w:r>
      <w:r>
        <w:rPr>
          <w:rFonts w:hint="eastAsia" w:eastAsia="方正仿宋_GBK"/>
          <w:sz w:val="32"/>
        </w:rPr>
        <w:t>一般公共服务支出</w:t>
      </w:r>
      <w:r>
        <w:rPr>
          <w:rFonts w:hint="eastAsia" w:eastAsia="方正仿宋_GBK"/>
          <w:sz w:val="32"/>
          <w:lang w:eastAsia="zh-CN"/>
        </w:rPr>
        <w:t>预算</w:t>
      </w:r>
      <w:r>
        <w:rPr>
          <w:rFonts w:hint="eastAsia" w:eastAsia="方正仿宋_GBK"/>
          <w:sz w:val="32"/>
          <w:lang w:val="en-US" w:eastAsia="zh-CN"/>
        </w:rPr>
        <w:t>104.9</w:t>
      </w:r>
      <w:r>
        <w:rPr>
          <w:rFonts w:eastAsia="方正仿宋_GBK"/>
          <w:sz w:val="32"/>
        </w:rPr>
        <w:t>万元，</w:t>
      </w:r>
      <w:r>
        <w:rPr>
          <w:rFonts w:hint="eastAsia" w:eastAsia="方正仿宋_GBK"/>
          <w:sz w:val="32"/>
        </w:rPr>
        <w:t>社会保障和就业支出</w:t>
      </w:r>
      <w:r>
        <w:rPr>
          <w:rFonts w:eastAsia="方正仿宋_GBK"/>
          <w:sz w:val="32"/>
        </w:rPr>
        <w:t>预算</w:t>
      </w:r>
      <w:r>
        <w:rPr>
          <w:rFonts w:hint="eastAsia" w:eastAsia="方正仿宋_GBK"/>
          <w:sz w:val="32"/>
          <w:lang w:val="en-US" w:eastAsia="zh-CN"/>
        </w:rPr>
        <w:t>19.81</w:t>
      </w:r>
      <w:r>
        <w:rPr>
          <w:rFonts w:eastAsia="方正仿宋_GBK"/>
          <w:sz w:val="32"/>
        </w:rPr>
        <w:t>万元，</w:t>
      </w:r>
      <w:r>
        <w:rPr>
          <w:rFonts w:hint="eastAsia" w:eastAsia="方正仿宋_GBK"/>
          <w:sz w:val="32"/>
        </w:rPr>
        <w:t>卫生健康支出</w:t>
      </w:r>
      <w:r>
        <w:rPr>
          <w:rFonts w:hint="eastAsia" w:eastAsia="方正仿宋_GBK"/>
          <w:sz w:val="32"/>
          <w:lang w:eastAsia="zh-CN"/>
        </w:rPr>
        <w:t>预算</w:t>
      </w:r>
      <w:r>
        <w:rPr>
          <w:rFonts w:hint="eastAsia" w:eastAsia="方正仿宋_GBK"/>
          <w:sz w:val="32"/>
          <w:lang w:val="en-US" w:eastAsia="zh-CN"/>
        </w:rPr>
        <w:t>6.4万元，</w:t>
      </w:r>
      <w:r>
        <w:rPr>
          <w:rFonts w:hint="eastAsia" w:eastAsia="方正仿宋_GBK"/>
          <w:sz w:val="32"/>
        </w:rPr>
        <w:t>住房保障支出</w:t>
      </w:r>
      <w:r>
        <w:rPr>
          <w:rFonts w:eastAsia="方正仿宋_GBK"/>
          <w:sz w:val="32"/>
        </w:rPr>
        <w:t>预算</w:t>
      </w:r>
      <w:r>
        <w:rPr>
          <w:rFonts w:hint="eastAsia" w:eastAsia="方正仿宋_GBK"/>
          <w:sz w:val="32"/>
          <w:lang w:val="en-US" w:eastAsia="zh-CN"/>
        </w:rPr>
        <w:t>5.92</w:t>
      </w:r>
      <w:r>
        <w:rPr>
          <w:rFonts w:eastAsia="方正仿宋_GBK"/>
          <w:sz w:val="32"/>
        </w:rPr>
        <w:t>万元</w:t>
      </w:r>
      <w:r>
        <w:rPr>
          <w:rFonts w:hint="eastAsia" w:eastAsia="方正仿宋_GBK"/>
          <w:sz w:val="32"/>
          <w:lang w:eastAsia="zh-CN"/>
        </w:rPr>
        <w:t>。</w:t>
      </w:r>
    </w:p>
    <w:p>
      <w:pPr>
        <w:spacing w:line="600" w:lineRule="exact"/>
        <w:ind w:left="640"/>
        <w:rPr>
          <w:rFonts w:eastAsia="方正黑体_GBK"/>
          <w:sz w:val="32"/>
        </w:rPr>
      </w:pPr>
      <w:r>
        <w:rPr>
          <w:rFonts w:eastAsia="方正黑体_GBK"/>
          <w:sz w:val="32"/>
        </w:rPr>
        <w:t>三、</w:t>
      </w:r>
      <w:r>
        <w:rPr>
          <w:rFonts w:hint="eastAsia" w:eastAsia="方正黑体_GBK"/>
          <w:sz w:val="32"/>
          <w:lang w:eastAsia="zh-CN"/>
        </w:rPr>
        <w:t>单位</w:t>
      </w:r>
      <w:r>
        <w:rPr>
          <w:rFonts w:eastAsia="方正黑体_GBK"/>
          <w:sz w:val="32"/>
        </w:rPr>
        <w:t>预算情况说明</w:t>
      </w:r>
    </w:p>
    <w:p>
      <w:pPr>
        <w:spacing w:line="600" w:lineRule="exact"/>
        <w:ind w:firstLine="640" w:firstLineChars="200"/>
        <w:rPr>
          <w:rFonts w:hint="eastAsia" w:eastAsia="方正仿宋_GBK"/>
          <w:sz w:val="32"/>
          <w:lang w:eastAsia="zh-CN"/>
        </w:rPr>
      </w:pPr>
      <w:r>
        <w:rPr>
          <w:rFonts w:eastAsia="方正仿宋_GBK"/>
          <w:sz w:val="32"/>
        </w:rPr>
        <w:t>2022年一般公共预算财政拨款收入</w:t>
      </w:r>
      <w:r>
        <w:rPr>
          <w:rFonts w:hint="eastAsia" w:eastAsia="方正仿宋_GBK"/>
          <w:sz w:val="32"/>
          <w:lang w:val="en-US" w:eastAsia="zh-CN"/>
        </w:rPr>
        <w:t>137.03</w:t>
      </w:r>
      <w:r>
        <w:rPr>
          <w:rFonts w:eastAsia="方正仿宋_GBK"/>
          <w:sz w:val="32"/>
        </w:rPr>
        <w:t>万元，一般公共预算财政拨款支出</w:t>
      </w:r>
      <w:r>
        <w:rPr>
          <w:rFonts w:hint="eastAsia" w:eastAsia="方正仿宋_GBK"/>
          <w:sz w:val="32"/>
          <w:lang w:val="en-US" w:eastAsia="zh-CN"/>
        </w:rPr>
        <w:t>137.03</w:t>
      </w:r>
      <w:r>
        <w:rPr>
          <w:rFonts w:eastAsia="方正仿宋_GBK"/>
          <w:sz w:val="32"/>
        </w:rPr>
        <w:t>万元，比2021年</w:t>
      </w:r>
      <w:r>
        <w:rPr>
          <w:rFonts w:hint="eastAsia" w:eastAsia="方正仿宋_GBK"/>
          <w:sz w:val="32"/>
          <w:lang w:eastAsia="zh-CN"/>
        </w:rPr>
        <w:t>减少</w:t>
      </w:r>
      <w:r>
        <w:rPr>
          <w:rFonts w:hint="eastAsia" w:eastAsia="方正仿宋_GBK"/>
          <w:sz w:val="32"/>
          <w:lang w:val="en-US" w:eastAsia="zh-CN"/>
        </w:rPr>
        <w:t>7.36</w:t>
      </w:r>
      <w:r>
        <w:rPr>
          <w:rFonts w:eastAsia="方正仿宋_GBK"/>
          <w:sz w:val="32"/>
        </w:rPr>
        <w:t>万元。其中：基本支出</w:t>
      </w:r>
      <w:r>
        <w:rPr>
          <w:rFonts w:hint="eastAsia" w:eastAsia="方正仿宋_GBK"/>
          <w:sz w:val="32"/>
          <w:lang w:val="en-US" w:eastAsia="zh-CN"/>
        </w:rPr>
        <w:t>137.03</w:t>
      </w:r>
      <w:r>
        <w:rPr>
          <w:rFonts w:eastAsia="方正仿宋_GBK"/>
          <w:sz w:val="32"/>
        </w:rPr>
        <w:t>万元，比2021年</w:t>
      </w:r>
      <w:r>
        <w:rPr>
          <w:rFonts w:hint="eastAsia" w:eastAsia="方正仿宋_GBK"/>
          <w:sz w:val="32"/>
          <w:lang w:eastAsia="zh-CN"/>
        </w:rPr>
        <w:t>减少</w:t>
      </w:r>
      <w:r>
        <w:rPr>
          <w:rFonts w:hint="eastAsia" w:eastAsia="方正仿宋_GBK"/>
          <w:sz w:val="32"/>
          <w:lang w:val="en-US" w:eastAsia="zh-CN"/>
        </w:rPr>
        <w:t>7.36</w:t>
      </w:r>
      <w:r>
        <w:rPr>
          <w:rFonts w:eastAsia="方正仿宋_GBK"/>
          <w:sz w:val="32"/>
        </w:rPr>
        <w:t>万元，主要原因是</w:t>
      </w:r>
      <w:r>
        <w:rPr>
          <w:rFonts w:hint="eastAsia" w:eastAsia="方正仿宋_GBK"/>
          <w:sz w:val="32"/>
          <w:lang w:eastAsia="zh-CN"/>
        </w:rPr>
        <w:t>在职人员减少、公用经费调整</w:t>
      </w:r>
      <w:r>
        <w:rPr>
          <w:rFonts w:eastAsia="方正仿宋_GBK"/>
          <w:sz w:val="32"/>
        </w:rPr>
        <w:t>等，主要用于保障在职人员工资福利及社会保险缴费，退休人员补助等，保障</w:t>
      </w:r>
      <w:r>
        <w:rPr>
          <w:rFonts w:hint="eastAsia" w:eastAsia="方正仿宋_GBK"/>
          <w:sz w:val="32"/>
          <w:lang w:eastAsia="zh-CN"/>
        </w:rPr>
        <w:t>单位</w:t>
      </w:r>
      <w:r>
        <w:rPr>
          <w:rFonts w:eastAsia="方正仿宋_GBK"/>
          <w:sz w:val="32"/>
        </w:rPr>
        <w:t>正常运转的各项商品服务支出；</w:t>
      </w:r>
      <w:r>
        <w:rPr>
          <w:rFonts w:hint="eastAsia" w:eastAsia="方正仿宋_GBK"/>
          <w:sz w:val="32"/>
          <w:lang w:eastAsia="zh-CN"/>
        </w:rPr>
        <w:t>无</w:t>
      </w:r>
      <w:r>
        <w:rPr>
          <w:rFonts w:eastAsia="方正仿宋_GBK"/>
          <w:sz w:val="32"/>
        </w:rPr>
        <w:t>项目支出</w:t>
      </w:r>
      <w:r>
        <w:rPr>
          <w:rFonts w:hint="eastAsia" w:eastAsia="方正仿宋_GBK"/>
          <w:sz w:val="32"/>
          <w:lang w:eastAsia="zh-CN"/>
        </w:rPr>
        <w:t>。</w:t>
      </w:r>
    </w:p>
    <w:p>
      <w:pPr>
        <w:spacing w:line="600" w:lineRule="exact"/>
        <w:ind w:firstLine="640" w:firstLineChars="200"/>
        <w:rPr>
          <w:rFonts w:hint="eastAsia" w:eastAsia="方正仿宋_GBK"/>
          <w:sz w:val="32"/>
          <w:lang w:eastAsia="zh-CN"/>
        </w:rPr>
      </w:pPr>
      <w:r>
        <w:rPr>
          <w:rFonts w:hint="eastAsia" w:eastAsia="方正仿宋_GBK"/>
          <w:sz w:val="32"/>
          <w:lang w:eastAsia="zh-CN"/>
        </w:rPr>
        <w:t>重庆市梁平区屏锦镇</w:t>
      </w:r>
      <w:r>
        <w:rPr>
          <w:rFonts w:hint="eastAsia" w:ascii="仿宋_GB2312" w:eastAsia="仿宋_GB2312" w:cs="方正仿宋_GBK"/>
          <w:sz w:val="32"/>
          <w:szCs w:val="32"/>
          <w:lang w:eastAsia="zh-CN"/>
        </w:rPr>
        <w:t>综合行政执法大队</w:t>
      </w:r>
      <w:r>
        <w:rPr>
          <w:rFonts w:eastAsia="方正仿宋_GBK"/>
          <w:sz w:val="32"/>
        </w:rPr>
        <w:t>2022年无使用政府性基金预算拨款安排的支出</w:t>
      </w:r>
      <w:r>
        <w:rPr>
          <w:rFonts w:hint="eastAsia" w:eastAsia="方正仿宋_GBK"/>
          <w:sz w:val="32"/>
          <w:lang w:eastAsia="zh-CN"/>
        </w:rPr>
        <w:t>。</w:t>
      </w:r>
    </w:p>
    <w:p>
      <w:pPr>
        <w:spacing w:line="600" w:lineRule="exact"/>
        <w:ind w:left="640"/>
        <w:rPr>
          <w:rFonts w:eastAsia="方正仿宋_GBK"/>
          <w:sz w:val="32"/>
        </w:rPr>
      </w:pPr>
      <w:r>
        <w:rPr>
          <w:rFonts w:eastAsia="方正黑体_GBK"/>
          <w:sz w:val="32"/>
        </w:rPr>
        <w:t>四、“三公”经费情况说明</w:t>
      </w:r>
    </w:p>
    <w:p>
      <w:pPr>
        <w:spacing w:line="600" w:lineRule="exact"/>
        <w:ind w:firstLine="600"/>
        <w:rPr>
          <w:rFonts w:hint="default" w:eastAsia="方正仿宋_GBK"/>
          <w:sz w:val="32"/>
          <w:lang w:val="en-US" w:eastAsia="zh-CN"/>
        </w:rPr>
      </w:pPr>
      <w:r>
        <w:rPr>
          <w:rFonts w:hint="eastAsia" w:eastAsia="方正仿宋_GBK"/>
          <w:sz w:val="32"/>
          <w:lang w:eastAsia="zh-CN"/>
        </w:rPr>
        <w:t>重庆市梁平区屏锦镇</w:t>
      </w:r>
      <w:r>
        <w:rPr>
          <w:rFonts w:hint="eastAsia" w:ascii="仿宋_GB2312" w:eastAsia="仿宋_GB2312" w:cs="方正仿宋_GBK"/>
          <w:sz w:val="32"/>
          <w:szCs w:val="32"/>
          <w:lang w:eastAsia="zh-CN"/>
        </w:rPr>
        <w:t>综合行政执法大队</w:t>
      </w:r>
      <w:r>
        <w:rPr>
          <w:rFonts w:hint="eastAsia" w:eastAsia="方正仿宋_GBK"/>
          <w:sz w:val="32"/>
          <w:lang w:val="en-US" w:eastAsia="zh-CN"/>
        </w:rPr>
        <w:t>2022年未预算“三公”经费。</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hint="eastAsia" w:eastAsia="方正仿宋_GBK"/>
          <w:sz w:val="32"/>
          <w:lang w:eastAsia="zh-CN"/>
        </w:rPr>
      </w:pPr>
      <w:r>
        <w:rPr>
          <w:rFonts w:eastAsia="方正仿宋_GBK"/>
          <w:sz w:val="32"/>
        </w:rPr>
        <w:t>1、</w:t>
      </w:r>
      <w:r>
        <w:rPr>
          <w:rFonts w:hint="eastAsia" w:eastAsia="方正仿宋_GBK"/>
          <w:sz w:val="32"/>
          <w:lang w:eastAsia="zh-CN"/>
        </w:rPr>
        <w:t>事业</w:t>
      </w:r>
      <w:r>
        <w:rPr>
          <w:rFonts w:eastAsia="方正仿宋_GBK"/>
          <w:sz w:val="32"/>
        </w:rPr>
        <w:t>运行经费。2022年一般公共预算财政拨款运行经费</w:t>
      </w:r>
      <w:r>
        <w:rPr>
          <w:rFonts w:hint="eastAsia" w:eastAsia="方正仿宋_GBK"/>
          <w:sz w:val="32"/>
          <w:lang w:val="en-US" w:eastAsia="zh-CN"/>
        </w:rPr>
        <w:t>12.94</w:t>
      </w:r>
      <w:bookmarkStart w:id="0" w:name="_GoBack"/>
      <w:bookmarkEnd w:id="0"/>
      <w:r>
        <w:rPr>
          <w:rFonts w:eastAsia="方正仿宋_GBK"/>
          <w:sz w:val="32"/>
        </w:rPr>
        <w:t>万元</w:t>
      </w:r>
      <w:r>
        <w:rPr>
          <w:rFonts w:hint="eastAsia" w:eastAsia="方正仿宋_GBK"/>
          <w:sz w:val="32"/>
          <w:lang w:eastAsia="zh-CN"/>
        </w:rPr>
        <w:t>。</w:t>
      </w:r>
    </w:p>
    <w:p>
      <w:pPr>
        <w:ind w:firstLine="640" w:firstLineChars="200"/>
        <w:rPr>
          <w:rFonts w:hint="eastAsia" w:eastAsia="方正仿宋_GBK"/>
          <w:sz w:val="32"/>
          <w:lang w:eastAsia="zh-CN"/>
        </w:rPr>
      </w:pPr>
      <w:r>
        <w:rPr>
          <w:rFonts w:eastAsia="方正仿宋_GBK"/>
          <w:sz w:val="32"/>
        </w:rPr>
        <w:t>2、政府采购情况。</w:t>
      </w:r>
      <w:r>
        <w:rPr>
          <w:rFonts w:hint="eastAsia" w:eastAsia="方正仿宋_GBK"/>
          <w:sz w:val="32"/>
          <w:lang w:eastAsia="zh-CN"/>
        </w:rPr>
        <w:t>本</w:t>
      </w:r>
      <w:r>
        <w:rPr>
          <w:rFonts w:eastAsia="方正仿宋_GBK"/>
          <w:sz w:val="32"/>
        </w:rPr>
        <w:t>单位政府采购</w:t>
      </w:r>
      <w:r>
        <w:rPr>
          <w:rFonts w:hint="eastAsia" w:eastAsia="方正仿宋_GBK"/>
          <w:sz w:val="32"/>
          <w:lang w:eastAsia="zh-CN"/>
        </w:rPr>
        <w:t>未进行</w:t>
      </w:r>
      <w:r>
        <w:rPr>
          <w:rFonts w:eastAsia="方正仿宋_GBK"/>
          <w:sz w:val="32"/>
        </w:rPr>
        <w:t>预算</w:t>
      </w:r>
      <w:r>
        <w:rPr>
          <w:rFonts w:hint="eastAsia" w:eastAsia="方正仿宋_GBK"/>
          <w:sz w:val="32"/>
          <w:lang w:eastAsia="zh-CN"/>
        </w:rPr>
        <w:t>。</w:t>
      </w:r>
    </w:p>
    <w:p>
      <w:pPr>
        <w:ind w:firstLine="640" w:firstLineChars="200"/>
        <w:rPr>
          <w:rFonts w:hint="eastAsia" w:eastAsia="方正仿宋_GBK"/>
          <w:color w:val="000000"/>
          <w:sz w:val="32"/>
          <w:lang w:eastAsia="zh-CN"/>
        </w:rPr>
      </w:pPr>
      <w:r>
        <w:rPr>
          <w:rFonts w:eastAsia="方正仿宋_GBK"/>
          <w:sz w:val="32"/>
        </w:rPr>
        <w:t>3、绩效目标设置情况。</w:t>
      </w:r>
      <w:r>
        <w:rPr>
          <w:rFonts w:eastAsia="方正仿宋_GBK"/>
          <w:color w:val="000000"/>
          <w:sz w:val="32"/>
        </w:rPr>
        <w:t>2022年</w:t>
      </w:r>
      <w:r>
        <w:rPr>
          <w:rFonts w:hint="eastAsia" w:eastAsia="方正仿宋_GBK"/>
          <w:color w:val="000000"/>
          <w:sz w:val="32"/>
          <w:lang w:eastAsia="zh-CN"/>
        </w:rPr>
        <w:t>无</w:t>
      </w:r>
      <w:r>
        <w:rPr>
          <w:rFonts w:eastAsia="方正仿宋_GBK"/>
          <w:color w:val="000000"/>
          <w:sz w:val="32"/>
        </w:rPr>
        <w:t>项目</w:t>
      </w:r>
      <w:r>
        <w:rPr>
          <w:rFonts w:hint="eastAsia" w:eastAsia="方正仿宋_GBK"/>
          <w:color w:val="000000"/>
          <w:sz w:val="32"/>
          <w:lang w:eastAsia="zh-CN"/>
        </w:rPr>
        <w:t>，未设置绩效目标。</w:t>
      </w:r>
    </w:p>
    <w:p>
      <w:pPr>
        <w:ind w:firstLine="640" w:firstLineChars="200"/>
        <w:rPr>
          <w:rFonts w:eastAsia="方正仿宋_GBK"/>
          <w:color w:val="000000"/>
          <w:sz w:val="32"/>
        </w:rPr>
      </w:pPr>
      <w:r>
        <w:rPr>
          <w:rFonts w:eastAsia="方正仿宋_GBK"/>
          <w:color w:val="000000"/>
          <w:sz w:val="32"/>
        </w:rPr>
        <w:t>4、国有资产占有使用情况。截</w:t>
      </w:r>
      <w:r>
        <w:rPr>
          <w:rFonts w:hint="eastAsia" w:eastAsia="方正仿宋_GBK"/>
          <w:color w:val="000000"/>
          <w:sz w:val="32"/>
        </w:rPr>
        <w:t>至</w:t>
      </w:r>
      <w:r>
        <w:rPr>
          <w:rFonts w:eastAsia="方正仿宋_GBK"/>
          <w:color w:val="000000"/>
          <w:sz w:val="32"/>
        </w:rPr>
        <w:t>2021年12月，</w:t>
      </w:r>
      <w:r>
        <w:rPr>
          <w:rFonts w:hint="eastAsia" w:eastAsia="方正仿宋_GBK"/>
          <w:color w:val="000000"/>
          <w:sz w:val="32"/>
          <w:lang w:eastAsia="zh-CN"/>
        </w:rPr>
        <w:t>本</w:t>
      </w:r>
      <w:r>
        <w:rPr>
          <w:rFonts w:eastAsia="方正仿宋_GBK"/>
          <w:color w:val="000000"/>
          <w:sz w:val="32"/>
        </w:rPr>
        <w:t>预算单位共</w:t>
      </w:r>
      <w:r>
        <w:rPr>
          <w:rFonts w:hint="eastAsia" w:eastAsia="方正仿宋_GBK"/>
          <w:color w:val="000000"/>
          <w:sz w:val="32"/>
          <w:lang w:eastAsia="zh-CN"/>
        </w:rPr>
        <w:t>无车辆，</w:t>
      </w:r>
      <w:r>
        <w:rPr>
          <w:rFonts w:eastAsia="方正仿宋_GBK"/>
          <w:color w:val="000000"/>
          <w:sz w:val="32"/>
        </w:rPr>
        <w:t>2022年一般公共预算安排购置车辆</w:t>
      </w:r>
      <w:r>
        <w:rPr>
          <w:rFonts w:hint="eastAsia" w:eastAsia="方正仿宋_GBK"/>
          <w:sz w:val="32"/>
          <w:lang w:val="en-US" w:eastAsia="zh-CN"/>
        </w:rPr>
        <w:t>0</w:t>
      </w:r>
      <w:r>
        <w:rPr>
          <w:rFonts w:eastAsia="方正仿宋_GBK"/>
          <w:color w:val="000000"/>
          <w:sz w:val="32"/>
        </w:rPr>
        <w:t>辆</w:t>
      </w:r>
      <w:r>
        <w:rPr>
          <w:rFonts w:hint="eastAsia" w:eastAsia="方正仿宋_GBK"/>
          <w:color w:val="000000"/>
          <w:sz w:val="32"/>
          <w:lang w:eastAsia="zh-CN"/>
        </w:rPr>
        <w:t>。</w:t>
      </w:r>
    </w:p>
    <w:p>
      <w:pPr>
        <w:spacing w:line="600" w:lineRule="exact"/>
        <w:ind w:firstLine="640" w:firstLineChars="200"/>
        <w:rPr>
          <w:rFonts w:eastAsia="方正黑体_GBK"/>
          <w:sz w:val="32"/>
        </w:rPr>
      </w:pPr>
      <w:r>
        <w:rPr>
          <w:rFonts w:eastAsia="方正黑体_GBK"/>
          <w:sz w:val="32"/>
        </w:rPr>
        <w:t>六、专业性名词解释（纳入向社会公开范围的部门必须填写！）</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（二）其他收入：</w:t>
      </w:r>
      <w:r>
        <w:rPr>
          <w:rFonts w:ascii="Times New Roman" w:hAnsi="Times New Roman" w:eastAsia="方正仿宋_GBK"/>
          <w:sz w:val="32"/>
          <w:szCs w:val="32"/>
        </w:rPr>
        <w:t>指单位取得的除“财政拨款收入”、“事业收入”、“经营收入”等以外的收入。</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szCs w:val="24"/>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color w:val="000000"/>
          <w:sz w:val="32"/>
        </w:rPr>
      </w:pPr>
      <w:r>
        <w:rPr>
          <w:rFonts w:eastAsia="方正楷体_GBK"/>
          <w:sz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eastAsia="方正仿宋_GBK"/>
          <w:b/>
          <w:sz w:val="32"/>
        </w:rPr>
      </w:pPr>
    </w:p>
    <w:p>
      <w:pPr>
        <w:jc w:val="right"/>
        <w:rPr>
          <w:rFonts w:hint="eastAsia" w:eastAsia="方正仿宋_GBK"/>
          <w:b/>
          <w:sz w:val="32"/>
          <w:lang w:eastAsia="zh-CN"/>
        </w:rPr>
      </w:pPr>
      <w:r>
        <w:rPr>
          <w:rFonts w:eastAsia="方正仿宋_GBK"/>
          <w:b/>
          <w:sz w:val="32"/>
        </w:rPr>
        <w:t>部门（单位）预算公开联系人：</w:t>
      </w:r>
      <w:r>
        <w:rPr>
          <w:rFonts w:hint="eastAsia" w:eastAsia="方正仿宋_GBK"/>
          <w:b/>
          <w:sz w:val="32"/>
          <w:lang w:eastAsia="zh-CN"/>
        </w:rPr>
        <w:t>周可</w:t>
      </w:r>
    </w:p>
    <w:p>
      <w:pPr>
        <w:jc w:val="right"/>
        <w:rPr>
          <w:rFonts w:hint="default" w:eastAsia="方正仿宋_GBK"/>
          <w:b/>
          <w:sz w:val="32"/>
          <w:lang w:val="en-US" w:eastAsia="zh-CN"/>
        </w:rPr>
      </w:pPr>
      <w:r>
        <w:rPr>
          <w:rFonts w:eastAsia="方正仿宋_GBK"/>
          <w:b/>
          <w:sz w:val="32"/>
        </w:rPr>
        <w:t>联系方式：</w:t>
      </w:r>
      <w:r>
        <w:rPr>
          <w:rFonts w:hint="eastAsia" w:eastAsia="方正仿宋_GBK"/>
          <w:b/>
          <w:sz w:val="32"/>
          <w:lang w:val="en-US" w:eastAsia="zh-CN"/>
        </w:rPr>
        <w:t>17823095564</w:t>
      </w: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pPr>
    </w:p>
    <w:p>
      <w:pPr>
        <w:adjustRightInd w:val="0"/>
        <w:snapToGrid w:val="0"/>
        <w:spacing w:line="594" w:lineRule="exact"/>
        <w:rPr>
          <w:rFonts w:eastAsia="方正仿宋_GBK"/>
          <w:color w:val="000000"/>
          <w:sz w:val="32"/>
          <w:szCs w:val="32"/>
        </w:rPr>
        <w:sectPr>
          <w:pgSz w:w="11906" w:h="16838"/>
          <w:pgMar w:top="1588" w:right="1531" w:bottom="1588" w:left="1531" w:header="851" w:footer="851" w:gutter="0"/>
          <w:cols w:space="425"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64EFE"/>
    <w:rsid w:val="153A29B9"/>
    <w:rsid w:val="157B7FB3"/>
    <w:rsid w:val="28A57728"/>
    <w:rsid w:val="354E6ED1"/>
    <w:rsid w:val="35B15C96"/>
    <w:rsid w:val="38A64EFE"/>
    <w:rsid w:val="50987457"/>
    <w:rsid w:val="5A51414E"/>
    <w:rsid w:val="75363A2C"/>
    <w:rsid w:val="775C6858"/>
    <w:rsid w:val="7B09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2022-02-10T03:00:00Z</dcterms:created>
  <dc:creator>皮蛋瘦肉周</dc:creator>
  <cp:lastModifiedBy>皮蛋瘦肉周</cp:lastModifiedBy>
  <dcterms:modified xsi:type="dcterms:W3CDTF">2022-02-10T11:31:48Z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5FC19C3F01B24F049883A588B0B07706</vt:lpwstr>
  </property>
</Properties>
</file>