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adjustRightInd w:val="0"/>
        <w:snapToGrid w:val="0"/>
        <w:spacing w:beforeAutospacing="0" w:afterAutospacing="0"/>
        <w:jc w:val="center"/>
        <w:rPr>
          <w:rFonts w:hint="eastAsia" w:ascii="方正小标宋_GBK" w:eastAsia="方正小标宋_GBK"/>
          <w:bCs/>
          <w:sz w:val="44"/>
          <w:szCs w:val="44"/>
        </w:rPr>
      </w:pPr>
      <w:r>
        <w:rPr>
          <w:rFonts w:hint="eastAsia" w:ascii="方正小标宋_GBK" w:hAnsi="宋体" w:eastAsia="方正小标宋_GBK" w:cs="宋体"/>
          <w:bCs/>
          <w:sz w:val="44"/>
          <w:szCs w:val="44"/>
        </w:rPr>
        <w:t>重庆市梁平区蟠龙镇人民政府</w:t>
      </w:r>
    </w:p>
    <w:p>
      <w:pPr>
        <w:pStyle w:val="4"/>
        <w:widowControl/>
        <w:adjustRightInd w:val="0"/>
        <w:snapToGrid w:val="0"/>
        <w:spacing w:beforeAutospacing="0" w:afterAutospacing="0"/>
        <w:jc w:val="center"/>
        <w:rPr>
          <w:rFonts w:hint="eastAsia" w:ascii="方正小标宋_GBK" w:hAnsi="宋体" w:eastAsia="方正小标宋_GBK" w:cs="宋体"/>
          <w:bCs/>
          <w:sz w:val="44"/>
          <w:szCs w:val="44"/>
        </w:rPr>
      </w:pPr>
      <w:r>
        <w:rPr>
          <w:rFonts w:hint="eastAsia" w:ascii="方正小标宋_GBK" w:hAnsi="宋体" w:eastAsia="方正小标宋_GBK" w:cs="宋体"/>
          <w:bCs/>
          <w:sz w:val="44"/>
          <w:szCs w:val="44"/>
        </w:rPr>
        <w:t>2020年度部门决算情况说明</w:t>
      </w:r>
    </w:p>
    <w:p>
      <w:pPr>
        <w:pStyle w:val="4"/>
        <w:widowControl/>
        <w:adjustRightInd w:val="0"/>
        <w:snapToGrid w:val="0"/>
        <w:spacing w:beforeAutospacing="0" w:afterAutospacing="0"/>
        <w:jc w:val="center"/>
        <w:rPr>
          <w:rFonts w:hint="eastAsia" w:ascii="方正黑体_GBK" w:eastAsia="方正黑体_GBK"/>
          <w:sz w:val="44"/>
          <w:szCs w:val="44"/>
        </w:rPr>
      </w:pPr>
    </w:p>
    <w:p>
      <w:pPr>
        <w:pStyle w:val="4"/>
        <w:widowControl/>
        <w:numPr>
          <w:ilvl w:val="0"/>
          <w:numId w:val="1"/>
        </w:numPr>
        <w:adjustRightInd w:val="0"/>
        <w:spacing w:beforeAutospacing="0" w:afterAutospacing="0"/>
        <w:ind w:firstLine="640" w:firstLineChars="200"/>
        <w:rPr>
          <w:rStyle w:val="7"/>
          <w:rFonts w:hint="eastAsia" w:ascii="方正黑体_GBK" w:hAnsi="宋体" w:eastAsia="方正黑体_GBK" w:cs="宋体"/>
          <w:b w:val="0"/>
          <w:sz w:val="32"/>
          <w:szCs w:val="32"/>
        </w:rPr>
      </w:pPr>
      <w:r>
        <w:rPr>
          <w:rStyle w:val="7"/>
          <w:rFonts w:hint="eastAsia" w:ascii="方正黑体_GBK" w:hAnsi="宋体" w:eastAsia="方正黑体_GBK" w:cs="宋体"/>
          <w:b w:val="0"/>
          <w:sz w:val="32"/>
          <w:szCs w:val="32"/>
        </w:rPr>
        <w:t>部门基本情况</w:t>
      </w:r>
    </w:p>
    <w:p>
      <w:pPr>
        <w:adjustRightInd w:val="0"/>
        <w:ind w:firstLine="640" w:firstLineChars="200"/>
        <w:rPr>
          <w:rFonts w:hint="eastAsia" w:ascii="方正楷体_GBK" w:hAnsi="宋体" w:eastAsia="方正楷体_GBK" w:cs="宋体"/>
          <w:bCs/>
          <w:kern w:val="0"/>
          <w:sz w:val="32"/>
          <w:szCs w:val="32"/>
        </w:rPr>
      </w:pPr>
      <w:r>
        <w:rPr>
          <w:rFonts w:hint="eastAsia" w:ascii="方正楷体_GBK" w:hAnsi="宋体" w:eastAsia="方正楷体_GBK" w:cs="宋体"/>
          <w:bCs/>
          <w:kern w:val="0"/>
          <w:sz w:val="32"/>
          <w:szCs w:val="32"/>
        </w:rPr>
        <w:t>（一）职能职责</w:t>
      </w:r>
    </w:p>
    <w:p>
      <w:pPr>
        <w:adjustRightInd w:val="0"/>
        <w:ind w:firstLine="640" w:firstLineChars="200"/>
        <w:rPr>
          <w:rFonts w:hint="eastAsia" w:ascii="方正仿宋_GBK" w:hAnsi="宋体" w:eastAsia="方正仿宋_GBK" w:cs="宋体"/>
          <w:color w:val="333333"/>
          <w:sz w:val="32"/>
          <w:szCs w:val="32"/>
          <w:shd w:val="clear" w:color="auto" w:fill="FFFFFF"/>
        </w:rPr>
      </w:pPr>
      <w:r>
        <w:rPr>
          <w:rFonts w:hint="eastAsia" w:ascii="方正仿宋_GBK" w:hAnsi="宋体" w:eastAsia="方正仿宋_GBK" w:cs="宋体"/>
          <w:color w:val="333333"/>
          <w:sz w:val="32"/>
          <w:szCs w:val="32"/>
          <w:shd w:val="clear" w:color="auto" w:fill="FFFFFF"/>
        </w:rPr>
        <w:t>1.贯彻执行党和国家各项方针、政策、法律、法规；负责辖区内的地区性、群众性、公益性、社会性工作；制订具体的管理办法并组织实施；负责经济发展规划、经济社会统计、扶贫开发、农村经营管理、维护市场秩序。</w:t>
      </w:r>
    </w:p>
    <w:p>
      <w:pPr>
        <w:adjustRightInd w:val="0"/>
        <w:ind w:firstLine="640" w:firstLineChars="200"/>
        <w:rPr>
          <w:rFonts w:hint="eastAsia" w:ascii="方正仿宋_GBK" w:hAnsi="宋体" w:eastAsia="方正仿宋_GBK" w:cs="宋体"/>
          <w:b/>
          <w:bCs/>
          <w:kern w:val="0"/>
          <w:sz w:val="32"/>
          <w:szCs w:val="32"/>
        </w:rPr>
      </w:pPr>
      <w:r>
        <w:rPr>
          <w:rFonts w:hint="eastAsia" w:ascii="方正仿宋_GBK" w:hAnsi="宋体" w:eastAsia="方正仿宋_GBK" w:cs="宋体"/>
          <w:color w:val="333333"/>
          <w:sz w:val="32"/>
          <w:szCs w:val="32"/>
          <w:shd w:val="clear" w:color="auto" w:fill="FFFFFF"/>
        </w:rPr>
        <w:t>2.负责村（居）民委会建设和管理，指导和帮助居（村）民委员会搞好组织建设和制度建设，发挥居（村）民委员会的群众自治作用；大力兴办社会福利事业，发动和组织居民积极开展各类公益活动；负责民兵、兵役、拥军优属、优抚安置、社会救济、社会福利、文化、科普、体育、教育、旅游等工作。</w:t>
      </w:r>
    </w:p>
    <w:p>
      <w:pPr>
        <w:adjustRightInd w:val="0"/>
        <w:ind w:firstLine="640" w:firstLineChars="200"/>
        <w:rPr>
          <w:rFonts w:hint="eastAsia" w:ascii="方正仿宋_GBK" w:hAnsi="宋体" w:eastAsia="方正仿宋_GBK" w:cs="宋体"/>
          <w:b/>
          <w:bCs/>
          <w:kern w:val="0"/>
          <w:sz w:val="32"/>
          <w:szCs w:val="32"/>
        </w:rPr>
      </w:pPr>
      <w:r>
        <w:rPr>
          <w:rFonts w:hint="eastAsia" w:ascii="方正仿宋_GBK" w:hAnsi="宋体" w:eastAsia="方正仿宋_GBK" w:cs="宋体"/>
          <w:color w:val="333333"/>
          <w:sz w:val="32"/>
          <w:szCs w:val="32"/>
          <w:shd w:val="clear" w:color="auto" w:fill="FFFFFF"/>
        </w:rPr>
        <w:t>3.抓好社区文化建设，开展村（居）民委会文明单位、文明户建设活动，组织居民开展经常性的文化、娱乐、体育活动，做好树立文明新风建设工作。</w:t>
      </w:r>
    </w:p>
    <w:p>
      <w:pPr>
        <w:adjustRightInd w:val="0"/>
        <w:ind w:firstLine="640" w:firstLineChars="200"/>
        <w:rPr>
          <w:rFonts w:hint="eastAsia" w:ascii="方正仿宋_GBK" w:hAnsi="宋体" w:eastAsia="方正仿宋_GBK" w:cs="宋体"/>
          <w:b/>
          <w:bCs/>
          <w:kern w:val="0"/>
          <w:sz w:val="32"/>
          <w:szCs w:val="32"/>
        </w:rPr>
      </w:pPr>
      <w:r>
        <w:rPr>
          <w:rFonts w:hint="eastAsia" w:ascii="方正仿宋_GBK" w:hAnsi="宋体" w:eastAsia="方正仿宋_GBK" w:cs="宋体"/>
          <w:color w:val="333333"/>
          <w:sz w:val="32"/>
          <w:szCs w:val="32"/>
          <w:shd w:val="clear" w:color="auto" w:fill="FFFFFF"/>
        </w:rPr>
        <w:t>4.负责全镇的人民调解、治安保卫工作，加强对违法青少年的帮教转化，保护老人、妇女、儿童的合法权益；</w:t>
      </w:r>
    </w:p>
    <w:p>
      <w:pPr>
        <w:adjustRightInd w:val="0"/>
        <w:ind w:firstLine="640" w:firstLineChars="200"/>
        <w:rPr>
          <w:rFonts w:hint="eastAsia" w:ascii="方正仿宋_GBK" w:hAnsi="宋体" w:eastAsia="方正仿宋_GBK" w:cs="宋体"/>
          <w:b/>
          <w:bCs/>
          <w:kern w:val="0"/>
          <w:sz w:val="32"/>
          <w:szCs w:val="32"/>
        </w:rPr>
      </w:pPr>
      <w:r>
        <w:rPr>
          <w:rFonts w:hint="eastAsia" w:ascii="方正仿宋_GBK" w:hAnsi="宋体" w:eastAsia="方正仿宋_GBK" w:cs="宋体"/>
          <w:color w:val="333333"/>
          <w:sz w:val="32"/>
          <w:szCs w:val="32"/>
          <w:shd w:val="clear" w:color="auto" w:fill="FFFFFF"/>
        </w:rPr>
        <w:t>5.做好辖区民政、教育、卫生、计生、老龄事业发展、社会救助、残疾人事业、劳动就业、社会保障等工作。</w:t>
      </w:r>
    </w:p>
    <w:p>
      <w:pPr>
        <w:adjustRightInd w:val="0"/>
        <w:ind w:firstLine="640" w:firstLineChars="200"/>
        <w:rPr>
          <w:rFonts w:hint="eastAsia" w:ascii="方正仿宋_GBK" w:hAnsi="宋体" w:eastAsia="方正仿宋_GBK" w:cs="宋体"/>
          <w:b/>
          <w:bCs/>
          <w:kern w:val="0"/>
          <w:sz w:val="32"/>
          <w:szCs w:val="32"/>
        </w:rPr>
      </w:pPr>
      <w:r>
        <w:rPr>
          <w:rFonts w:hint="eastAsia" w:ascii="方正仿宋_GBK" w:hAnsi="宋体" w:eastAsia="方正仿宋_GBK" w:cs="宋体"/>
          <w:color w:val="333333"/>
          <w:sz w:val="32"/>
          <w:szCs w:val="32"/>
          <w:shd w:val="clear" w:color="auto" w:fill="FFFFFF"/>
        </w:rPr>
        <w:t>6.做好辖区民兵训练、公民服兵役工作，做好退役军人保障服务工作、关系转接、信息采集、情况反映、慰问帮扶等工作。</w:t>
      </w:r>
    </w:p>
    <w:p>
      <w:pPr>
        <w:adjustRightInd w:val="0"/>
        <w:ind w:firstLine="640" w:firstLineChars="200"/>
        <w:rPr>
          <w:rFonts w:hint="eastAsia" w:ascii="方正仿宋_GBK" w:hAnsi="宋体" w:eastAsia="方正仿宋_GBK" w:cs="宋体"/>
          <w:b/>
          <w:bCs/>
          <w:kern w:val="0"/>
          <w:sz w:val="32"/>
          <w:szCs w:val="32"/>
        </w:rPr>
      </w:pPr>
      <w:r>
        <w:rPr>
          <w:rFonts w:hint="eastAsia" w:ascii="方正仿宋_GBK" w:hAnsi="宋体" w:eastAsia="方正仿宋_GBK" w:cs="宋体"/>
          <w:color w:val="333333"/>
          <w:sz w:val="32"/>
          <w:szCs w:val="32"/>
          <w:shd w:val="clear" w:color="auto" w:fill="FFFFFF"/>
        </w:rPr>
        <w:t>7.负责在辖区开展普法教育工作，做好民事调解，开展法律咨询、信访、服务等工作，维护居民的合法权益，社会治安综合治理、防范和处理邪教，搞好辖区内社会管理综合治理工作。</w:t>
      </w:r>
    </w:p>
    <w:p>
      <w:pPr>
        <w:adjustRightInd w:val="0"/>
        <w:ind w:firstLine="640" w:firstLineChars="200"/>
        <w:rPr>
          <w:rFonts w:hint="eastAsia" w:ascii="方正仿宋_GBK" w:hAnsi="宋体" w:eastAsia="方正仿宋_GBK" w:cs="宋体"/>
          <w:b/>
          <w:bCs/>
          <w:kern w:val="0"/>
          <w:sz w:val="32"/>
          <w:szCs w:val="32"/>
        </w:rPr>
      </w:pPr>
      <w:r>
        <w:rPr>
          <w:rFonts w:hint="eastAsia" w:ascii="方正仿宋_GBK" w:hAnsi="宋体" w:eastAsia="方正仿宋_GBK" w:cs="宋体"/>
          <w:color w:val="333333"/>
          <w:sz w:val="32"/>
          <w:szCs w:val="32"/>
          <w:shd w:val="clear" w:color="auto" w:fill="FFFFFF"/>
        </w:rPr>
        <w:t>8.负责本辖区的村镇规划、村镇建设、市政公用、市容环卫、环境保护工作。</w:t>
      </w:r>
    </w:p>
    <w:p>
      <w:pPr>
        <w:adjustRightInd w:val="0"/>
        <w:ind w:firstLine="640" w:firstLineChars="200"/>
        <w:rPr>
          <w:rFonts w:hint="eastAsia" w:ascii="方正仿宋_GBK" w:hAnsi="宋体" w:eastAsia="方正仿宋_GBK" w:cs="宋体"/>
          <w:b/>
          <w:bCs/>
          <w:kern w:val="0"/>
          <w:sz w:val="32"/>
          <w:szCs w:val="32"/>
        </w:rPr>
      </w:pPr>
      <w:r>
        <w:rPr>
          <w:rFonts w:hint="eastAsia" w:ascii="方正仿宋_GBK" w:hAnsi="宋体" w:eastAsia="方正仿宋_GBK" w:cs="宋体"/>
          <w:color w:val="333333"/>
          <w:sz w:val="32"/>
          <w:szCs w:val="32"/>
          <w:shd w:val="clear" w:color="auto" w:fill="FFFFFF"/>
        </w:rPr>
        <w:t>9.负责本辖区的综合执法工作，农林水利、规划建设、环境保护、卫生健康、文化旅游、民政管理、消防管理等领域的行政执法权，维护辖区的良好秩序。</w:t>
      </w:r>
    </w:p>
    <w:p>
      <w:pPr>
        <w:adjustRightInd w:val="0"/>
        <w:ind w:firstLine="640" w:firstLineChars="200"/>
        <w:rPr>
          <w:rFonts w:hint="eastAsia" w:ascii="方正仿宋_GBK" w:hAnsi="宋体" w:eastAsia="方正仿宋_GBK" w:cs="宋体"/>
          <w:color w:val="333333"/>
          <w:sz w:val="32"/>
          <w:szCs w:val="32"/>
          <w:shd w:val="clear" w:color="auto" w:fill="FFFFFF"/>
        </w:rPr>
      </w:pPr>
      <w:r>
        <w:rPr>
          <w:rFonts w:hint="eastAsia" w:ascii="方正仿宋_GBK" w:hAnsi="宋体" w:eastAsia="方正仿宋_GBK" w:cs="宋体"/>
          <w:color w:val="333333"/>
          <w:sz w:val="32"/>
          <w:szCs w:val="32"/>
          <w:shd w:val="clear" w:color="auto" w:fill="FFFFFF"/>
        </w:rPr>
        <w:t>10.负责辖区经济发展的规划、道路交通建设、违法建筑整治，抓好安全生产综合监管、应急管理、消防管理等工作。</w:t>
      </w:r>
    </w:p>
    <w:p>
      <w:pPr>
        <w:adjustRightInd w:val="0"/>
        <w:ind w:firstLine="640" w:firstLineChars="200"/>
        <w:rPr>
          <w:rFonts w:hint="eastAsia" w:ascii="方正仿宋_GBK" w:hAnsi="宋体" w:eastAsia="方正仿宋_GBK" w:cs="宋体"/>
          <w:color w:val="333333"/>
          <w:sz w:val="32"/>
          <w:szCs w:val="32"/>
          <w:shd w:val="clear" w:color="auto" w:fill="FFFFFF"/>
        </w:rPr>
      </w:pPr>
      <w:r>
        <w:rPr>
          <w:rFonts w:hint="eastAsia" w:ascii="方正仿宋_GBK" w:hAnsi="宋体" w:eastAsia="方正仿宋_GBK" w:cs="宋体"/>
          <w:color w:val="333333"/>
          <w:sz w:val="32"/>
          <w:szCs w:val="32"/>
          <w:shd w:val="clear" w:color="auto" w:fill="FFFFFF"/>
        </w:rPr>
        <w:t>11.做好辖区内的防汛、防风、防火、防震、抢险和救灾、居民迁移等工作。承担农技、农机、林业、畜牧、水产等方面的技术推广、信息服务、农产品质量安全、动物防疫的具体事务。</w:t>
      </w:r>
    </w:p>
    <w:p>
      <w:pPr>
        <w:adjustRightInd w:val="0"/>
        <w:ind w:firstLine="640" w:firstLineChars="200"/>
        <w:rPr>
          <w:rFonts w:hint="eastAsia" w:ascii="方正仿宋_GBK" w:hAnsi="宋体" w:eastAsia="方正仿宋_GBK" w:cs="宋体"/>
          <w:b/>
          <w:bCs/>
          <w:kern w:val="0"/>
          <w:sz w:val="32"/>
          <w:szCs w:val="32"/>
        </w:rPr>
      </w:pPr>
      <w:r>
        <w:rPr>
          <w:rFonts w:hint="eastAsia" w:ascii="方正仿宋_GBK" w:hAnsi="宋体" w:eastAsia="方正仿宋_GBK" w:cs="宋体"/>
          <w:color w:val="333333"/>
          <w:sz w:val="32"/>
          <w:szCs w:val="32"/>
          <w:shd w:val="clear" w:color="auto" w:fill="FFFFFF"/>
        </w:rPr>
        <w:t>12.负责财政收支、预决算、财务管理、惠农资金兑付等工作；</w:t>
      </w:r>
    </w:p>
    <w:p>
      <w:pPr>
        <w:adjustRightInd w:val="0"/>
        <w:ind w:firstLine="640" w:firstLineChars="200"/>
        <w:rPr>
          <w:rFonts w:hint="eastAsia" w:ascii="方正仿宋_GBK" w:hAnsi="宋体" w:eastAsia="方正仿宋_GBK" w:cs="宋体"/>
          <w:b/>
          <w:bCs/>
          <w:kern w:val="0"/>
          <w:sz w:val="32"/>
          <w:szCs w:val="32"/>
        </w:rPr>
      </w:pPr>
      <w:r>
        <w:rPr>
          <w:rFonts w:hint="eastAsia" w:ascii="方正仿宋_GBK" w:hAnsi="宋体" w:eastAsia="方正仿宋_GBK" w:cs="宋体"/>
          <w:color w:val="333333"/>
          <w:sz w:val="32"/>
          <w:szCs w:val="32"/>
          <w:shd w:val="clear" w:color="auto" w:fill="FFFFFF"/>
        </w:rPr>
        <w:t>13.承办上级政府交办的其他工作。</w:t>
      </w:r>
    </w:p>
    <w:p>
      <w:pPr>
        <w:pStyle w:val="4"/>
        <w:widowControl/>
        <w:adjustRightInd w:val="0"/>
        <w:spacing w:beforeAutospacing="0" w:afterAutospacing="0"/>
        <w:ind w:firstLine="348"/>
        <w:rPr>
          <w:rFonts w:hint="eastAsia" w:ascii="方正楷体_GBK" w:hAnsi="宋体" w:eastAsia="方正楷体_GBK" w:cs="宋体"/>
          <w:bCs/>
          <w:sz w:val="32"/>
          <w:szCs w:val="32"/>
        </w:rPr>
      </w:pPr>
      <w:r>
        <w:rPr>
          <w:rFonts w:hint="eastAsia" w:ascii="方正楷体_GBK" w:hAnsi="宋体" w:eastAsia="方正楷体_GBK" w:cs="宋体"/>
          <w:bCs/>
          <w:sz w:val="32"/>
          <w:szCs w:val="32"/>
        </w:rPr>
        <w:t>（二）机构设置</w:t>
      </w:r>
    </w:p>
    <w:p>
      <w:pPr>
        <w:pStyle w:val="4"/>
        <w:widowControl/>
        <w:adjustRightInd w:val="0"/>
        <w:spacing w:beforeAutospacing="0" w:afterAutospacing="0"/>
        <w:ind w:firstLine="640" w:firstLineChars="200"/>
        <w:rPr>
          <w:rFonts w:hint="eastAsia" w:ascii="方正楷体_GBK" w:hAnsi="宋体" w:eastAsia="方正楷体_GBK" w:cs="宋体"/>
          <w:bCs/>
          <w:sz w:val="32"/>
          <w:szCs w:val="32"/>
        </w:rPr>
      </w:pPr>
      <w:r>
        <w:rPr>
          <w:rFonts w:hint="eastAsia" w:ascii="方正仿宋_GBK" w:hAnsi="宋体" w:eastAsia="方正仿宋_GBK" w:cs="宋体"/>
          <w:sz w:val="32"/>
          <w:szCs w:val="32"/>
        </w:rPr>
        <w:t>按照国家新的行政事业单位会计制度，蟠龙镇人民政府2020年部门决算独立核算机构6个单位，其中：行政单位1个，事业单位5个。全年年末实有人数42人，在职人员42人，退休人员20人。其中：行政在职人员27人，非参公事业在职人员15人； 6个独立核算单位分别是：蟠龙镇人民政府机关、蟠龙镇综合执法大队、蟠龙镇农业服务中心、蟠龙镇文化服务中心，蟠龙镇退役军人服务站、蟠龙镇社会保障服务所。</w:t>
      </w:r>
    </w:p>
    <w:p>
      <w:pPr>
        <w:pStyle w:val="4"/>
        <w:widowControl/>
        <w:adjustRightInd w:val="0"/>
        <w:spacing w:beforeAutospacing="0" w:afterAutospacing="0"/>
        <w:ind w:firstLine="640" w:firstLineChars="200"/>
        <w:rPr>
          <w:rFonts w:hint="eastAsia" w:ascii="方正楷体_GBK" w:hAnsi="宋体" w:eastAsia="方正楷体_GBK" w:cs="宋体"/>
          <w:sz w:val="32"/>
          <w:szCs w:val="32"/>
        </w:rPr>
      </w:pPr>
      <w:r>
        <w:rPr>
          <w:rFonts w:hint="eastAsia" w:ascii="方正楷体_GBK" w:hAnsi="宋体" w:eastAsia="方正楷体_GBK" w:cs="宋体"/>
          <w:sz w:val="32"/>
          <w:szCs w:val="32"/>
        </w:rPr>
        <w:t>（三）单位构成</w:t>
      </w:r>
    </w:p>
    <w:p>
      <w:pPr>
        <w:pStyle w:val="4"/>
        <w:widowControl/>
        <w:adjustRightInd w:val="0"/>
        <w:spacing w:beforeAutospacing="0" w:afterAutospacing="0"/>
        <w:ind w:firstLine="640" w:firstLineChars="200"/>
        <w:rPr>
          <w:rFonts w:hint="eastAsia" w:ascii="方正楷体_GBK" w:hAnsi="宋体" w:eastAsia="方正楷体_GBK" w:cs="宋体"/>
          <w:bCs/>
          <w:sz w:val="32"/>
          <w:szCs w:val="32"/>
        </w:rPr>
      </w:pPr>
      <w:r>
        <w:rPr>
          <w:rFonts w:hint="eastAsia" w:ascii="方正仿宋_GBK" w:hAnsi="宋体" w:eastAsia="方正仿宋_GBK" w:cs="宋体"/>
          <w:sz w:val="32"/>
          <w:szCs w:val="32"/>
        </w:rPr>
        <w:t>从预算单位构成看，本部门2020年度决算编制为一级单位，没有二级预算单位。</w:t>
      </w:r>
    </w:p>
    <w:p>
      <w:pPr>
        <w:pStyle w:val="4"/>
        <w:widowControl/>
        <w:adjustRightInd w:val="0"/>
        <w:spacing w:beforeAutospacing="0" w:afterAutospacing="0"/>
        <w:ind w:firstLine="640" w:firstLineChars="200"/>
        <w:rPr>
          <w:rFonts w:hint="eastAsia" w:ascii="方正楷体_GBK" w:hAnsi="宋体" w:eastAsia="方正楷体_GBK" w:cs="宋体"/>
          <w:sz w:val="32"/>
          <w:szCs w:val="32"/>
        </w:rPr>
      </w:pPr>
      <w:r>
        <w:rPr>
          <w:rFonts w:hint="eastAsia" w:ascii="方正楷体_GBK" w:hAnsi="宋体" w:eastAsia="方正楷体_GBK" w:cs="宋体"/>
          <w:sz w:val="32"/>
          <w:szCs w:val="32"/>
        </w:rPr>
        <w:t>（四）机构改革情况</w:t>
      </w:r>
    </w:p>
    <w:p>
      <w:pPr>
        <w:pStyle w:val="4"/>
        <w:widowControl/>
        <w:adjustRightInd w:val="0"/>
        <w:spacing w:beforeAutospacing="0" w:afterAutospacing="0"/>
        <w:ind w:firstLine="640" w:firstLineChars="200"/>
        <w:rPr>
          <w:rFonts w:hint="eastAsia" w:ascii="方正楷体_GBK" w:hAnsi="宋体" w:eastAsia="方正楷体_GBK" w:cs="宋体"/>
          <w:bCs/>
          <w:sz w:val="32"/>
          <w:szCs w:val="32"/>
        </w:rPr>
      </w:pPr>
      <w:r>
        <w:rPr>
          <w:rFonts w:hint="eastAsia" w:ascii="方正仿宋_GBK" w:hAnsi="宋体" w:eastAsia="方正仿宋_GBK" w:cs="宋体"/>
          <w:sz w:val="32"/>
          <w:szCs w:val="32"/>
        </w:rPr>
        <w:t>财政财务调整情况。根据本部门2020年末财政财务管理实际，2020年度决算反映机构改革已经完成。按照要求，对预算指标、财务会计、资产等完成了调整。</w:t>
      </w:r>
    </w:p>
    <w:p>
      <w:pPr>
        <w:pStyle w:val="4"/>
        <w:widowControl/>
        <w:adjustRightInd w:val="0"/>
        <w:spacing w:beforeAutospacing="0" w:afterAutospacing="0"/>
        <w:ind w:firstLine="640" w:firstLineChars="200"/>
        <w:rPr>
          <w:rFonts w:hint="eastAsia" w:ascii="方正黑体_GBK" w:hAnsi="宋体" w:eastAsia="方正黑体_GBK" w:cs="宋体"/>
          <w:b/>
          <w:sz w:val="32"/>
          <w:szCs w:val="32"/>
        </w:rPr>
      </w:pPr>
      <w:r>
        <w:rPr>
          <w:rStyle w:val="7"/>
          <w:rFonts w:hint="eastAsia" w:ascii="方正黑体_GBK" w:hAnsi="宋体" w:eastAsia="方正黑体_GBK" w:cs="宋体"/>
          <w:b w:val="0"/>
          <w:sz w:val="32"/>
          <w:szCs w:val="32"/>
        </w:rPr>
        <w:t>二、部门决算情况说明</w:t>
      </w:r>
    </w:p>
    <w:p>
      <w:pPr>
        <w:pStyle w:val="4"/>
        <w:widowControl/>
        <w:adjustRightInd w:val="0"/>
        <w:spacing w:beforeAutospacing="0" w:afterAutospacing="0"/>
        <w:ind w:firstLine="640" w:firstLineChars="200"/>
        <w:rPr>
          <w:rFonts w:hint="eastAsia" w:ascii="方正楷体_GBK" w:hAnsi="宋体" w:eastAsia="方正楷体_GBK" w:cs="宋体"/>
          <w:b/>
          <w:sz w:val="32"/>
          <w:szCs w:val="32"/>
        </w:rPr>
      </w:pPr>
      <w:r>
        <w:rPr>
          <w:rStyle w:val="7"/>
          <w:rFonts w:hint="eastAsia" w:ascii="方正楷体_GBK" w:hAnsi="宋体" w:eastAsia="方正楷体_GBK" w:cs="宋体"/>
          <w:b w:val="0"/>
          <w:sz w:val="32"/>
          <w:szCs w:val="32"/>
        </w:rPr>
        <w:t>（一）收入支出决算总体情况说明</w:t>
      </w:r>
    </w:p>
    <w:p>
      <w:pPr>
        <w:pStyle w:val="4"/>
        <w:widowControl/>
        <w:adjustRightInd w:val="0"/>
        <w:spacing w:beforeAutospacing="0" w:afterAutospacing="0"/>
        <w:ind w:firstLine="642" w:firstLineChars="200"/>
        <w:rPr>
          <w:rFonts w:hint="eastAsia" w:ascii="方正仿宋_GBK" w:hAnsi="宋体" w:eastAsia="方正仿宋_GBK" w:cs="宋体"/>
          <w:sz w:val="32"/>
          <w:szCs w:val="32"/>
        </w:rPr>
      </w:pPr>
      <w:r>
        <w:rPr>
          <w:rStyle w:val="7"/>
          <w:rFonts w:hint="eastAsia" w:ascii="方正仿宋_GBK" w:hAnsi="宋体" w:eastAsia="方正仿宋_GBK" w:cs="宋体"/>
          <w:sz w:val="32"/>
          <w:szCs w:val="32"/>
        </w:rPr>
        <w:t>1.总体情况</w:t>
      </w:r>
      <w:r>
        <w:rPr>
          <w:rFonts w:hint="eastAsia" w:ascii="方正仿宋_GBK" w:hAnsi="宋体" w:eastAsia="方正仿宋_GBK" w:cs="宋体"/>
          <w:sz w:val="32"/>
          <w:szCs w:val="32"/>
        </w:rPr>
        <w:t>。2020年度收入总计2697.48万元，支出总计2697.48万元。收支较上年决算数增加157.56万元、增长6.2%，主要原因是2020年年中追加农村公路建设款和农村房屋旧房提升建设款。本部门的收入总计包括收入合计、用事业基金弥补收支差额、年初结转和结余；支出总计包括本年支出合计、结余分配、年末结转和结余。本单位没有国有资本经营预算财政拨款收支情况。</w:t>
      </w:r>
    </w:p>
    <w:p>
      <w:pPr>
        <w:pStyle w:val="4"/>
        <w:widowControl/>
        <w:adjustRightInd w:val="0"/>
        <w:spacing w:beforeAutospacing="0" w:afterAutospacing="0"/>
        <w:ind w:firstLine="642" w:firstLineChars="200"/>
        <w:rPr>
          <w:rFonts w:hint="eastAsia" w:ascii="方正仿宋_GBK" w:hAnsi="宋体" w:eastAsia="方正仿宋_GBK" w:cs="宋体"/>
          <w:sz w:val="32"/>
          <w:szCs w:val="32"/>
        </w:rPr>
      </w:pPr>
      <w:r>
        <w:rPr>
          <w:rStyle w:val="7"/>
          <w:rFonts w:hint="eastAsia" w:ascii="方正仿宋_GBK" w:hAnsi="宋体" w:eastAsia="方正仿宋_GBK" w:cs="宋体"/>
          <w:sz w:val="32"/>
          <w:szCs w:val="32"/>
        </w:rPr>
        <w:t>2.收入情况。</w:t>
      </w:r>
      <w:r>
        <w:rPr>
          <w:rFonts w:hint="eastAsia" w:ascii="方正仿宋_GBK" w:hAnsi="宋体" w:eastAsia="方正仿宋_GBK" w:cs="宋体"/>
          <w:sz w:val="32"/>
          <w:szCs w:val="32"/>
        </w:rPr>
        <w:t>2020年度收入合计2595.36万元，较上年决算数增加161.33万元，增长6.6%，主要原因是年中追加农村公路建设款和农村房屋旧房提升建设款。其中：财政拨款收入2595.36万元，占100%。此外，年初结转和结余102.12万元。</w:t>
      </w:r>
    </w:p>
    <w:p>
      <w:pPr>
        <w:pStyle w:val="4"/>
        <w:widowControl/>
        <w:adjustRightInd w:val="0"/>
        <w:spacing w:beforeAutospacing="0" w:afterAutospacing="0"/>
        <w:ind w:firstLine="642" w:firstLineChars="200"/>
        <w:rPr>
          <w:rFonts w:hint="eastAsia" w:ascii="方正仿宋_GBK" w:hAnsi="宋体" w:eastAsia="方正仿宋_GBK" w:cs="宋体"/>
          <w:sz w:val="32"/>
          <w:szCs w:val="32"/>
        </w:rPr>
      </w:pPr>
      <w:r>
        <w:rPr>
          <w:rStyle w:val="7"/>
          <w:rFonts w:hint="eastAsia" w:ascii="方正仿宋_GBK" w:hAnsi="宋体" w:eastAsia="方正仿宋_GBK" w:cs="宋体"/>
          <w:sz w:val="32"/>
          <w:szCs w:val="32"/>
        </w:rPr>
        <w:t>3.支出情况。</w:t>
      </w:r>
      <w:r>
        <w:rPr>
          <w:rFonts w:hint="eastAsia" w:ascii="方正仿宋_GBK" w:hAnsi="宋体" w:eastAsia="方正仿宋_GBK" w:cs="宋体"/>
          <w:sz w:val="32"/>
          <w:szCs w:val="32"/>
        </w:rPr>
        <w:t>2020年度支出合计2615.06万元，较上年决算数增加75.14万元，增长3%，主要原因是当年增加农村公路和农村房屋旧房提升建设款支出。其中：基本支出1054.04万元，占40.3%；项目支出1561.01万元，占59.7%。</w:t>
      </w:r>
    </w:p>
    <w:p>
      <w:pPr>
        <w:pStyle w:val="4"/>
        <w:widowControl/>
        <w:adjustRightInd w:val="0"/>
        <w:spacing w:beforeAutospacing="0" w:afterAutospacing="0"/>
        <w:ind w:firstLine="642" w:firstLineChars="200"/>
        <w:rPr>
          <w:rFonts w:hint="eastAsia" w:ascii="方正仿宋_GBK" w:hAnsi="宋体" w:eastAsia="方正仿宋_GBK" w:cs="宋体"/>
          <w:sz w:val="32"/>
          <w:szCs w:val="32"/>
        </w:rPr>
      </w:pPr>
      <w:r>
        <w:rPr>
          <w:rStyle w:val="7"/>
          <w:rFonts w:hint="eastAsia" w:ascii="方正仿宋_GBK" w:hAnsi="宋体" w:eastAsia="方正仿宋_GBK" w:cs="宋体"/>
          <w:sz w:val="32"/>
          <w:szCs w:val="32"/>
        </w:rPr>
        <w:t>4.结转结余情况。</w:t>
      </w:r>
      <w:r>
        <w:rPr>
          <w:rFonts w:hint="eastAsia" w:ascii="方正仿宋_GBK" w:hAnsi="宋体" w:eastAsia="方正仿宋_GBK" w:cs="宋体"/>
          <w:sz w:val="32"/>
          <w:szCs w:val="32"/>
        </w:rPr>
        <w:t>2020年度年末结转和结余82.43万元，较上年决算数增加82.43万元，主要原因是公益</w:t>
      </w:r>
      <w:r>
        <w:rPr>
          <w:rFonts w:hint="eastAsia" w:ascii="方正仿宋_GBK" w:hAnsi="宋体" w:eastAsia="方正仿宋_GBK" w:cs="宋体"/>
          <w:sz w:val="32"/>
          <w:szCs w:val="32"/>
          <w:lang w:eastAsia="zh-CN"/>
        </w:rPr>
        <w:t>性</w:t>
      </w:r>
      <w:r>
        <w:rPr>
          <w:rFonts w:hint="eastAsia" w:ascii="方正仿宋_GBK" w:hAnsi="宋体" w:eastAsia="方正仿宋_GBK" w:cs="宋体"/>
          <w:sz w:val="32"/>
          <w:szCs w:val="32"/>
        </w:rPr>
        <w:t>岗位人员经费调账科目结余。</w:t>
      </w:r>
    </w:p>
    <w:p>
      <w:pPr>
        <w:pStyle w:val="4"/>
        <w:widowControl/>
        <w:adjustRightInd w:val="0"/>
        <w:spacing w:beforeAutospacing="0" w:afterAutospacing="0"/>
        <w:ind w:firstLine="640" w:firstLineChars="200"/>
        <w:rPr>
          <w:rFonts w:hint="eastAsia" w:ascii="方正楷体_GBK" w:hAnsi="宋体" w:eastAsia="方正楷体_GBK" w:cs="宋体"/>
          <w:b/>
          <w:sz w:val="32"/>
          <w:szCs w:val="32"/>
        </w:rPr>
      </w:pPr>
      <w:r>
        <w:rPr>
          <w:rStyle w:val="7"/>
          <w:rFonts w:hint="eastAsia" w:ascii="方正楷体_GBK" w:hAnsi="宋体" w:eastAsia="方正楷体_GBK" w:cs="宋体"/>
          <w:b w:val="0"/>
          <w:sz w:val="32"/>
          <w:szCs w:val="32"/>
        </w:rPr>
        <w:t>（二）财政拨款收入支出决算总体情况说明</w:t>
      </w:r>
    </w:p>
    <w:p>
      <w:pPr>
        <w:pStyle w:val="4"/>
        <w:widowControl/>
        <w:adjustRightInd w:val="0"/>
        <w:spacing w:beforeAutospacing="0" w:afterAutospacing="0"/>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2020年度财政拨款收、支总计2697.48万元。与2019年相比，财政拨款收、支总计各增加157.56万元，增长6.2%。主要原因是年中追加农村公路建设款和农村房屋旧房提升建设款。</w:t>
      </w:r>
    </w:p>
    <w:p>
      <w:pPr>
        <w:pStyle w:val="4"/>
        <w:widowControl/>
        <w:adjustRightInd w:val="0"/>
        <w:spacing w:beforeAutospacing="0" w:afterAutospacing="0"/>
        <w:ind w:firstLine="640" w:firstLineChars="200"/>
        <w:rPr>
          <w:rFonts w:hint="eastAsia" w:ascii="方正仿宋_GBK" w:hAnsi="宋体" w:eastAsia="方正仿宋_GBK" w:cs="宋体"/>
          <w:sz w:val="32"/>
          <w:szCs w:val="32"/>
        </w:rPr>
      </w:pPr>
      <w:r>
        <w:rPr>
          <w:rStyle w:val="7"/>
          <w:rFonts w:hint="eastAsia" w:ascii="方正楷体_GBK" w:hAnsi="宋体" w:eastAsia="方正楷体_GBK" w:cs="宋体"/>
          <w:b w:val="0"/>
          <w:sz w:val="32"/>
          <w:szCs w:val="32"/>
        </w:rPr>
        <w:t>（三）一般公共预算财政拨款支出决算情况说明</w:t>
      </w:r>
    </w:p>
    <w:p>
      <w:pPr>
        <w:pStyle w:val="4"/>
        <w:widowControl/>
        <w:adjustRightInd w:val="0"/>
        <w:spacing w:beforeAutospacing="0" w:afterAutospacing="0"/>
        <w:ind w:firstLine="642" w:firstLineChars="200"/>
        <w:rPr>
          <w:rFonts w:hint="eastAsia" w:ascii="方正仿宋_GBK" w:hAnsi="宋体" w:eastAsia="方正仿宋_GBK" w:cs="宋体"/>
          <w:sz w:val="32"/>
          <w:szCs w:val="32"/>
        </w:rPr>
      </w:pPr>
      <w:r>
        <w:rPr>
          <w:rStyle w:val="7"/>
          <w:rFonts w:hint="eastAsia" w:ascii="方正仿宋_GBK" w:hAnsi="宋体" w:eastAsia="方正仿宋_GBK" w:cs="宋体"/>
          <w:sz w:val="32"/>
          <w:szCs w:val="32"/>
        </w:rPr>
        <w:t>1.收入情况。</w:t>
      </w:r>
      <w:r>
        <w:rPr>
          <w:rFonts w:hint="eastAsia" w:ascii="方正仿宋_GBK" w:hAnsi="宋体" w:eastAsia="方正仿宋_GBK" w:cs="宋体"/>
          <w:sz w:val="32"/>
          <w:szCs w:val="32"/>
        </w:rPr>
        <w:t>2020年度一般公共预算财政拨款收入2222.97万元，较上年决算数减少211.06万元，下降8.7%。主要原因是机关事业单位年终目标考核奖、带薪年休等工资福利支出未支、公用经费减少。较年初预算数增加721.22万元，增长48%。主要原因是2020年财政追加农村公路建设和农村房屋旧房提升建设预算项目资金。此外，年初财政拨款结转和结余102.12万元。</w:t>
      </w:r>
    </w:p>
    <w:p>
      <w:pPr>
        <w:pStyle w:val="4"/>
        <w:widowControl/>
        <w:adjustRightInd w:val="0"/>
        <w:spacing w:beforeAutospacing="0" w:afterAutospacing="0"/>
        <w:ind w:firstLine="642" w:firstLineChars="200"/>
        <w:rPr>
          <w:rFonts w:hint="eastAsia" w:ascii="方正仿宋_GBK" w:hAnsi="宋体" w:eastAsia="方正仿宋_GBK" w:cs="宋体"/>
          <w:sz w:val="32"/>
          <w:szCs w:val="32"/>
        </w:rPr>
      </w:pPr>
      <w:r>
        <w:rPr>
          <w:rStyle w:val="7"/>
          <w:rFonts w:hint="eastAsia" w:ascii="方正仿宋_GBK" w:hAnsi="宋体" w:eastAsia="方正仿宋_GBK" w:cs="宋体"/>
          <w:sz w:val="32"/>
          <w:szCs w:val="32"/>
        </w:rPr>
        <w:t>2.支出情况。</w:t>
      </w:r>
      <w:r>
        <w:rPr>
          <w:rFonts w:hint="eastAsia" w:ascii="方正仿宋_GBK" w:hAnsi="宋体" w:eastAsia="方正仿宋_GBK" w:cs="宋体"/>
          <w:sz w:val="32"/>
          <w:szCs w:val="32"/>
        </w:rPr>
        <w:t>2020年度一般公共预算财政拨款支出2242.67万元，较上年决算数减少297.25万元，下降11.7%。主要原因是2020年机关事业单位年终目标考核、带薪年休等工资福利支出未支、公用经费减少。较年初预算数增加740.92万元，增长49.3%。主要原因是2020年年中追加农村公路建设款和农村房屋旧房提升建设款。</w:t>
      </w:r>
    </w:p>
    <w:p>
      <w:pPr>
        <w:pStyle w:val="4"/>
        <w:widowControl/>
        <w:adjustRightInd w:val="0"/>
        <w:spacing w:beforeAutospacing="0" w:afterAutospacing="0"/>
        <w:ind w:firstLine="642" w:firstLineChars="200"/>
        <w:rPr>
          <w:rFonts w:hint="eastAsia" w:ascii="方正仿宋_GBK" w:hAnsi="宋体" w:eastAsia="方正仿宋_GBK" w:cs="宋体"/>
          <w:sz w:val="32"/>
          <w:szCs w:val="32"/>
        </w:rPr>
      </w:pPr>
      <w:r>
        <w:rPr>
          <w:rStyle w:val="7"/>
          <w:rFonts w:hint="eastAsia" w:ascii="方正仿宋_GBK" w:hAnsi="宋体" w:eastAsia="方正仿宋_GBK" w:cs="宋体"/>
          <w:sz w:val="32"/>
          <w:szCs w:val="32"/>
        </w:rPr>
        <w:t>3.结转结余情况。</w:t>
      </w:r>
      <w:r>
        <w:rPr>
          <w:rFonts w:hint="eastAsia" w:ascii="方正仿宋_GBK" w:hAnsi="宋体" w:eastAsia="方正仿宋_GBK" w:cs="宋体"/>
          <w:sz w:val="32"/>
          <w:szCs w:val="32"/>
        </w:rPr>
        <w:t>2020年度年末一般公共预算财政拨款结转和结余82.43万元，较上年决算数增加82.43万元，主要原因是公益</w:t>
      </w:r>
      <w:r>
        <w:rPr>
          <w:rFonts w:hint="eastAsia" w:ascii="方正仿宋_GBK" w:hAnsi="宋体" w:eastAsia="方正仿宋_GBK" w:cs="宋体"/>
          <w:sz w:val="32"/>
          <w:szCs w:val="32"/>
          <w:lang w:eastAsia="zh-CN"/>
        </w:rPr>
        <w:t>性</w:t>
      </w:r>
      <w:r>
        <w:rPr>
          <w:rFonts w:hint="eastAsia" w:ascii="方正仿宋_GBK" w:hAnsi="宋体" w:eastAsia="方正仿宋_GBK" w:cs="宋体"/>
          <w:sz w:val="32"/>
          <w:szCs w:val="32"/>
        </w:rPr>
        <w:t>岗位人员经费调账科目结余。</w:t>
      </w:r>
    </w:p>
    <w:p>
      <w:pPr>
        <w:pStyle w:val="4"/>
        <w:widowControl/>
        <w:adjustRightInd w:val="0"/>
        <w:spacing w:beforeAutospacing="0" w:afterAutospacing="0"/>
        <w:ind w:firstLine="642" w:firstLineChars="200"/>
        <w:rPr>
          <w:rFonts w:hint="eastAsia" w:ascii="方正仿宋_GBK" w:hAnsi="宋体" w:eastAsia="方正仿宋_GBK" w:cs="宋体"/>
          <w:sz w:val="32"/>
          <w:szCs w:val="32"/>
        </w:rPr>
      </w:pPr>
      <w:r>
        <w:rPr>
          <w:rStyle w:val="7"/>
          <w:rFonts w:hint="eastAsia" w:ascii="方正仿宋_GBK" w:hAnsi="宋体" w:eastAsia="方正仿宋_GBK" w:cs="宋体"/>
          <w:sz w:val="32"/>
          <w:szCs w:val="32"/>
        </w:rPr>
        <w:t>4.比较情况</w:t>
      </w:r>
      <w:r>
        <w:rPr>
          <w:rFonts w:hint="eastAsia" w:ascii="方正仿宋_GBK" w:hAnsi="宋体" w:eastAsia="方正仿宋_GBK" w:cs="宋体"/>
          <w:sz w:val="32"/>
          <w:szCs w:val="32"/>
        </w:rPr>
        <w:t>。本部门2020年度一般公共预算财政拨款支出主要用于以下几个方面：</w:t>
      </w:r>
    </w:p>
    <w:p>
      <w:pPr>
        <w:pStyle w:val="4"/>
        <w:widowControl/>
        <w:adjustRightInd w:val="0"/>
        <w:spacing w:beforeAutospacing="0" w:afterAutospacing="0"/>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（1）一般公共服务支出723.03万元，占32.2%，较年初预算数增加107.47万元，增长17.5%，主要原因是年中追加人员增资、乡村振兴、人居环境综合整治费、农村公路建设费、农村房屋旧房提升建设费。</w:t>
      </w:r>
    </w:p>
    <w:p>
      <w:pPr>
        <w:pStyle w:val="4"/>
        <w:widowControl/>
        <w:adjustRightInd w:val="0"/>
        <w:spacing w:beforeAutospacing="0" w:afterAutospacing="0"/>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（2）国防支出0.80万元，占0%，较年初预算数增加0.80万元，主要原因是列支2020年民兵国防基层武装部规范化建设支出。</w:t>
      </w:r>
    </w:p>
    <w:p>
      <w:pPr>
        <w:pStyle w:val="4"/>
        <w:widowControl/>
        <w:adjustRightInd w:val="0"/>
        <w:spacing w:beforeAutospacing="0" w:afterAutospacing="0"/>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（3）公共安全支出34.08万元，占1.5%，较年初预算数增加34.08万元，主要原因是2020年中追加乡村道路交通劝导站建设、安全生产交通劝导员和食品药品监管经费。</w:t>
      </w:r>
    </w:p>
    <w:p>
      <w:pPr>
        <w:pStyle w:val="4"/>
        <w:widowControl/>
        <w:adjustRightInd w:val="0"/>
        <w:spacing w:beforeAutospacing="0" w:afterAutospacing="0"/>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（4）教育支出0.85万元，占0%，较年初预算数增加0.85万元，主要原因是年中追加职工业务培训经费。</w:t>
      </w:r>
    </w:p>
    <w:p>
      <w:pPr>
        <w:pStyle w:val="4"/>
        <w:widowControl/>
        <w:adjustRightInd w:val="0"/>
        <w:spacing w:beforeAutospacing="0" w:afterAutospacing="0"/>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（5）文化旅游体育与传媒支出23.53万元，占1%，较年初预算数减少7.97万元，下降25.3%，主要原因是年中追减公共文化经费。</w:t>
      </w:r>
    </w:p>
    <w:p>
      <w:pPr>
        <w:pStyle w:val="4"/>
        <w:widowControl/>
        <w:adjustRightInd w:val="0"/>
        <w:spacing w:beforeAutospacing="0" w:afterAutospacing="0"/>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（6）社会保障与就业支出414.80万元，占18.5%，较年初预算数增加174.31万元，增长72.5%，主要原因是年中追加安排基层政权基础设施建设、村（社区）养托院建设经费支出，机构改革增加军人事务站经费。</w:t>
      </w:r>
    </w:p>
    <w:p>
      <w:pPr>
        <w:pStyle w:val="4"/>
        <w:widowControl/>
        <w:adjustRightInd w:val="0"/>
        <w:spacing w:beforeAutospacing="0" w:afterAutospacing="0"/>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（7）卫生健康支出48.81万元，占2.2%，较年初预算数增加12.18万元，增长33.3%，主要原因是年中追加职工保险经费。</w:t>
      </w:r>
    </w:p>
    <w:p>
      <w:pPr>
        <w:pStyle w:val="4"/>
        <w:widowControl/>
        <w:adjustRightInd w:val="0"/>
        <w:spacing w:beforeAutospacing="0" w:afterAutospacing="0"/>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（8）节能环保支出120.85万元，占5.4%，较年初预算数增加100.85万元，增长504.3%，主要原因是年中追加安排农村环境保护基础设施建设专项经费支出。</w:t>
      </w:r>
    </w:p>
    <w:p>
      <w:pPr>
        <w:pStyle w:val="4"/>
        <w:widowControl/>
        <w:adjustRightInd w:val="0"/>
        <w:spacing w:beforeAutospacing="0" w:afterAutospacing="0"/>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（9）城乡社区支出1.22万元，占0.1%，较年初预算数减少28.78万元，下降95.9%，主要原因是年中追减机构改革撤销村镇建设服务中心经费。</w:t>
      </w:r>
    </w:p>
    <w:p>
      <w:pPr>
        <w:pStyle w:val="4"/>
        <w:widowControl/>
        <w:adjustRightInd w:val="0"/>
        <w:spacing w:beforeAutospacing="0" w:afterAutospacing="0"/>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（10）农林水支出806.99万元，占36%，较年初预算数增加322.34万元，增长66.5%，主要原因是年中追加安排基础设施建设专项经费支出预算经费。</w:t>
      </w:r>
    </w:p>
    <w:p>
      <w:pPr>
        <w:pStyle w:val="4"/>
        <w:widowControl/>
        <w:adjustRightInd w:val="0"/>
        <w:spacing w:beforeAutospacing="0" w:afterAutospacing="0"/>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（11）交通运输支出3.72万元，占0.2%，较年初预算数增加3.72万元，主要原因是年中追加村（社区）公路养护费。</w:t>
      </w:r>
    </w:p>
    <w:p>
      <w:pPr>
        <w:pStyle w:val="4"/>
        <w:widowControl/>
        <w:adjustRightInd w:val="0"/>
        <w:spacing w:beforeAutospacing="0" w:afterAutospacing="0"/>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（12）资源勘探信息等支出0.70万元，占0%，较年初预算数增加0.70万元，主要原因是年中追加安排中小企业管理经费。</w:t>
      </w:r>
    </w:p>
    <w:p>
      <w:pPr>
        <w:pStyle w:val="4"/>
        <w:widowControl/>
        <w:adjustRightInd w:val="0"/>
        <w:spacing w:beforeAutospacing="0" w:afterAutospacing="0"/>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（13）商业服务业等支出2.50万元，占0.1%，较年初预算数增加2.50万元，主要原因是年中追加安排商业流通工作经费。</w:t>
      </w:r>
    </w:p>
    <w:p>
      <w:pPr>
        <w:pStyle w:val="4"/>
        <w:widowControl/>
        <w:adjustRightInd w:val="0"/>
        <w:spacing w:beforeAutospacing="0" w:afterAutospacing="0"/>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（14）住房保障支出43.78万元，占2%，较年初预算数增加0.85万元，增长2%，主要原因是年中追加2020年增资增加职工住房公积金经费。</w:t>
      </w:r>
    </w:p>
    <w:p>
      <w:pPr>
        <w:pStyle w:val="4"/>
        <w:widowControl/>
        <w:adjustRightInd w:val="0"/>
        <w:spacing w:beforeAutospacing="0" w:afterAutospacing="0"/>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（15）灾害防治及应急管理支出17.00万元，占0.8%，较年初预算数增加17.00万元，主要原因是年中追加安排2020年自然灾害生活救助资金12.00万元、自然灾害重建5.00万元</w:t>
      </w:r>
      <w:r>
        <w:rPr>
          <w:rStyle w:val="7"/>
          <w:rFonts w:hint="eastAsia" w:ascii="方正仿宋_GBK" w:hAnsi="宋体" w:eastAsia="方正仿宋_GBK" w:cs="宋体"/>
          <w:b w:val="0"/>
          <w:bCs/>
          <w:sz w:val="32"/>
          <w:szCs w:val="32"/>
        </w:rPr>
        <w:t>。</w:t>
      </w:r>
    </w:p>
    <w:p>
      <w:pPr>
        <w:pStyle w:val="4"/>
        <w:widowControl/>
        <w:adjustRightInd w:val="0"/>
        <w:spacing w:beforeAutospacing="0" w:afterAutospacing="0"/>
        <w:ind w:firstLine="640" w:firstLineChars="200"/>
        <w:rPr>
          <w:rFonts w:hint="eastAsia" w:ascii="方正楷体_GBK" w:hAnsi="宋体" w:eastAsia="方正楷体_GBK" w:cs="宋体"/>
          <w:b/>
          <w:sz w:val="32"/>
          <w:szCs w:val="32"/>
        </w:rPr>
      </w:pPr>
      <w:r>
        <w:rPr>
          <w:rStyle w:val="7"/>
          <w:rFonts w:hint="eastAsia" w:ascii="方正楷体_GBK" w:hAnsi="宋体" w:eastAsia="方正楷体_GBK" w:cs="宋体"/>
          <w:b w:val="0"/>
          <w:sz w:val="32"/>
          <w:szCs w:val="32"/>
        </w:rPr>
        <w:t>（四）一般公共预算财政拨款基本支出决算情况说明</w:t>
      </w:r>
    </w:p>
    <w:p>
      <w:pPr>
        <w:pStyle w:val="4"/>
        <w:widowControl/>
        <w:adjustRightInd w:val="0"/>
        <w:spacing w:beforeAutospacing="0" w:afterAutospacing="0"/>
        <w:ind w:firstLine="640" w:firstLineChars="200"/>
        <w:rPr>
          <w:rFonts w:hint="eastAsia" w:ascii="方正仿宋_GBK" w:hAnsi="宋体" w:eastAsia="方正仿宋_GBK" w:cs="宋体"/>
          <w:b/>
          <w:sz w:val="32"/>
          <w:szCs w:val="32"/>
        </w:rPr>
      </w:pPr>
      <w:r>
        <w:rPr>
          <w:rFonts w:hint="eastAsia" w:ascii="方正仿宋_GBK" w:hAnsi="宋体" w:eastAsia="方正仿宋_GBK" w:cs="宋体"/>
          <w:sz w:val="32"/>
          <w:szCs w:val="32"/>
        </w:rPr>
        <w:t>2020年度一般公共财政拨款基本支出1054.04万元。其中：人员经费907.33万元，较上年决算数减少311.33万 元，下降25.5%，主要原因是机关事业单位年终目标考核、带薪年休等工资福利支出未列支。人员经费用途主要包括基本工资、津贴补贴、奖金、其他社会保障缴费、伙食补助费、绩效工资、机关事业单位基本养老保险费、职业年金缴费、职工基本医疗保险缴费、住房公积金、其他工资福利支出。公用经费146.72万元，较上年决算数减少165.10万元，下降52.9%，主要原因是2020年压减公用经费开支。公用经费用途主要包括办公费、印刷费、咨询费、手续费、水费、电费、邮电费、差旅费、维修（护）费、会议费、培训费、公务接待费、劳务费、工会经费、公务用车运行维护费、其他交通费用、其他商品和服务支出。</w:t>
      </w:r>
    </w:p>
    <w:p>
      <w:pPr>
        <w:pStyle w:val="4"/>
        <w:widowControl/>
        <w:adjustRightInd w:val="0"/>
        <w:spacing w:beforeAutospacing="0" w:afterAutospacing="0"/>
        <w:ind w:firstLine="640" w:firstLineChars="200"/>
        <w:rPr>
          <w:rFonts w:hint="eastAsia" w:ascii="方正楷体_GBK" w:hAnsi="宋体" w:eastAsia="方正楷体_GBK" w:cs="宋体"/>
          <w:b/>
          <w:sz w:val="32"/>
          <w:szCs w:val="32"/>
        </w:rPr>
      </w:pPr>
      <w:r>
        <w:rPr>
          <w:rStyle w:val="7"/>
          <w:rFonts w:hint="eastAsia" w:ascii="方正楷体_GBK" w:hAnsi="宋体" w:eastAsia="方正楷体_GBK" w:cs="宋体"/>
          <w:b w:val="0"/>
          <w:sz w:val="32"/>
          <w:szCs w:val="32"/>
        </w:rPr>
        <w:t>（五）政府性基金预算收支决算情况说明</w:t>
      </w:r>
    </w:p>
    <w:p>
      <w:pPr>
        <w:pStyle w:val="4"/>
        <w:widowControl/>
        <w:adjustRightInd w:val="0"/>
        <w:spacing w:beforeAutospacing="0" w:afterAutospacing="0"/>
        <w:ind w:firstLine="640" w:firstLineChars="200"/>
        <w:rPr>
          <w:rFonts w:hint="eastAsia" w:ascii="方正仿宋_GBK" w:hAnsi="宋体" w:eastAsia="方正仿宋_GBK" w:cs="宋体"/>
          <w:b/>
          <w:sz w:val="32"/>
          <w:szCs w:val="32"/>
        </w:rPr>
      </w:pPr>
      <w:r>
        <w:rPr>
          <w:rFonts w:hint="eastAsia" w:ascii="方正仿宋_GBK" w:hAnsi="宋体" w:eastAsia="方正仿宋_GBK" w:cs="宋体"/>
          <w:sz w:val="32"/>
          <w:szCs w:val="32"/>
        </w:rPr>
        <w:t>2020年度政府性基金预算财政拨款年初结转结余0.00万元，年末结转结余0.00万元。本年收入372.39万元，较上年决算数增加372.39万元，主要原因是年中追加农村公路建设款、农村房屋旧房提升建设款、新冠防疫经费。本年支出372.39万元，较上年决算数增加372.39万元，主要原因是年中追加农村公路建设款、农村房屋旧房提升建设款、新冠防疫经费。</w:t>
      </w:r>
    </w:p>
    <w:p>
      <w:pPr>
        <w:pStyle w:val="4"/>
        <w:widowControl/>
        <w:adjustRightInd w:val="0"/>
        <w:spacing w:beforeAutospacing="0" w:afterAutospacing="0"/>
        <w:ind w:firstLine="640" w:firstLineChars="200"/>
        <w:rPr>
          <w:rFonts w:hint="eastAsia" w:ascii="方正黑体_GBK" w:hAnsi="宋体" w:eastAsia="方正黑体_GBK" w:cs="宋体"/>
          <w:b/>
          <w:sz w:val="32"/>
          <w:szCs w:val="32"/>
        </w:rPr>
      </w:pPr>
      <w:r>
        <w:rPr>
          <w:rStyle w:val="7"/>
          <w:rFonts w:hint="eastAsia" w:ascii="方正黑体_GBK" w:hAnsi="宋体" w:eastAsia="方正黑体_GBK" w:cs="宋体"/>
          <w:b w:val="0"/>
          <w:sz w:val="32"/>
          <w:szCs w:val="32"/>
        </w:rPr>
        <w:t>三、“三公”经费情况说明</w:t>
      </w:r>
    </w:p>
    <w:p>
      <w:pPr>
        <w:pStyle w:val="4"/>
        <w:widowControl/>
        <w:adjustRightInd w:val="0"/>
        <w:spacing w:beforeAutospacing="0" w:afterAutospacing="0"/>
        <w:ind w:firstLine="640" w:firstLineChars="200"/>
        <w:rPr>
          <w:rFonts w:hint="eastAsia" w:ascii="方正楷体_GBK" w:hAnsi="宋体" w:eastAsia="方正楷体_GBK" w:cs="宋体"/>
          <w:b/>
          <w:sz w:val="32"/>
          <w:szCs w:val="32"/>
        </w:rPr>
      </w:pPr>
      <w:r>
        <w:rPr>
          <w:rStyle w:val="7"/>
          <w:rFonts w:hint="eastAsia" w:ascii="方正楷体_GBK" w:hAnsi="宋体" w:eastAsia="方正楷体_GBK" w:cs="宋体"/>
          <w:b w:val="0"/>
          <w:sz w:val="32"/>
          <w:szCs w:val="32"/>
        </w:rPr>
        <w:t>（一）“三公”经费支出总体情况说明</w:t>
      </w:r>
    </w:p>
    <w:p>
      <w:pPr>
        <w:pStyle w:val="4"/>
        <w:widowControl/>
        <w:adjustRightInd w:val="0"/>
        <w:spacing w:beforeAutospacing="0" w:afterAutospacing="0"/>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2020年度“三公”经费支出共计4.22万元，较年初预算数增加1.52万元，增长56.3%，主要原因是预购公车加油卡充值费。较上年支出数增加0.78万元，增长22.7%，主要原因是预购公车加油卡充值费。</w:t>
      </w:r>
    </w:p>
    <w:p>
      <w:pPr>
        <w:pStyle w:val="4"/>
        <w:widowControl/>
        <w:adjustRightInd w:val="0"/>
        <w:spacing w:beforeAutospacing="0" w:afterAutospacing="0"/>
        <w:ind w:firstLine="640" w:firstLineChars="200"/>
        <w:rPr>
          <w:rFonts w:hint="eastAsia" w:ascii="方正楷体_GBK" w:hAnsi="宋体" w:eastAsia="方正楷体_GBK" w:cs="宋体"/>
          <w:b/>
          <w:sz w:val="32"/>
          <w:szCs w:val="32"/>
        </w:rPr>
      </w:pPr>
      <w:r>
        <w:rPr>
          <w:rStyle w:val="7"/>
          <w:rFonts w:hint="eastAsia" w:ascii="方正楷体_GBK" w:hAnsi="宋体" w:eastAsia="方正楷体_GBK" w:cs="宋体"/>
          <w:b w:val="0"/>
          <w:sz w:val="32"/>
          <w:szCs w:val="32"/>
        </w:rPr>
        <w:t>（二）“三公”经费分项支出情况</w:t>
      </w:r>
    </w:p>
    <w:p>
      <w:pPr>
        <w:pStyle w:val="4"/>
        <w:widowControl/>
        <w:adjustRightInd w:val="0"/>
        <w:spacing w:beforeAutospacing="0" w:afterAutospacing="0"/>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2020年度本部门因公出国（境）没有支出费用，主要是未安排单位人员出国出访。</w:t>
      </w:r>
    </w:p>
    <w:p>
      <w:pPr>
        <w:pStyle w:val="4"/>
        <w:shd w:val="clear" w:color="auto" w:fill="FFFFFF"/>
        <w:adjustRightInd w:val="0"/>
        <w:spacing w:beforeAutospacing="0" w:afterAutospacing="0"/>
        <w:ind w:firstLine="640" w:firstLineChars="200"/>
        <w:jc w:val="both"/>
        <w:rPr>
          <w:rFonts w:hint="eastAsia" w:ascii="方正仿宋_GBK" w:hAnsi="宋体" w:eastAsia="方正仿宋_GBK" w:cs="宋体"/>
          <w:sz w:val="32"/>
          <w:szCs w:val="32"/>
        </w:rPr>
      </w:pPr>
      <w:r>
        <w:rPr>
          <w:rFonts w:hint="eastAsia" w:ascii="方正仿宋_GBK" w:hAnsi="宋体" w:eastAsia="方正仿宋_GBK" w:cs="宋体"/>
          <w:sz w:val="32"/>
          <w:szCs w:val="32"/>
        </w:rPr>
        <w:t>2020年度公务车购置费没有支出，主要是当年没有购置公务车辆。</w:t>
      </w:r>
    </w:p>
    <w:p>
      <w:pPr>
        <w:pStyle w:val="4"/>
        <w:widowControl/>
        <w:adjustRightInd w:val="0"/>
        <w:spacing w:beforeAutospacing="0" w:afterAutospacing="0"/>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公务用车运行维护费4.05万元，主要用于机要文件交换、市内因公出行、安全生产、财政业务检查等工作所需车辆的燃料费、维修费、过桥过路费、保险费等。费用支出较年初预算数增加1.55万元，增长62%，主要原因是预购公务车加油卡充值费。较上年支出数增加0.66万元，增长19.5%，主要原因是预购公务车加油卡充值费。</w:t>
      </w:r>
    </w:p>
    <w:p>
      <w:pPr>
        <w:pStyle w:val="4"/>
        <w:widowControl/>
        <w:adjustRightInd w:val="0"/>
        <w:spacing w:beforeAutospacing="0" w:afterAutospacing="0"/>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公务接待费0.17万元，主要用于接待接受相关部门招商引资、检查指导工作发生的接待支出。费用支出较年初预算数减少0.03万元，下降15%，主要原因是强化公务接待支出管理，严格遵守公务接待开支范围和开支标准，严格控制陪餐人数，对应由接待对象承担的费用一律由接待对象自行支付，公务接待费大幅下降。较上年支出数增加0.12万元，增长240%，主要原因是招商引资、企业发展协调接待费用增加。</w:t>
      </w:r>
    </w:p>
    <w:p>
      <w:pPr>
        <w:pStyle w:val="4"/>
        <w:widowControl/>
        <w:adjustRightInd w:val="0"/>
        <w:spacing w:beforeAutospacing="0" w:afterAutospacing="0"/>
        <w:ind w:firstLine="640" w:firstLineChars="200"/>
        <w:rPr>
          <w:rFonts w:hint="eastAsia" w:ascii="方正楷体_GBK" w:hAnsi="宋体" w:eastAsia="方正楷体_GBK" w:cs="宋体"/>
          <w:b/>
          <w:sz w:val="32"/>
          <w:szCs w:val="32"/>
        </w:rPr>
      </w:pPr>
      <w:r>
        <w:rPr>
          <w:rStyle w:val="7"/>
          <w:rFonts w:hint="eastAsia" w:ascii="方正楷体_GBK" w:hAnsi="宋体" w:eastAsia="方正楷体_GBK" w:cs="宋体"/>
          <w:b w:val="0"/>
          <w:sz w:val="32"/>
          <w:szCs w:val="32"/>
        </w:rPr>
        <w:t>（三）“三公”经费实物量情况</w:t>
      </w:r>
    </w:p>
    <w:p>
      <w:pPr>
        <w:pStyle w:val="4"/>
        <w:widowControl/>
        <w:adjustRightInd w:val="0"/>
        <w:spacing w:beforeAutospacing="0" w:afterAutospacing="0"/>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2020年度本部门未安排单位人员出国出访；没有购置公务车辆，公务车保有量为2辆；国内公务接待12批次42人，2020年本部门人均接待费40.79元，车均维护费2.03万元。</w:t>
      </w:r>
    </w:p>
    <w:p>
      <w:pPr>
        <w:pStyle w:val="4"/>
        <w:widowControl/>
        <w:adjustRightInd w:val="0"/>
        <w:spacing w:beforeAutospacing="0" w:afterAutospacing="0"/>
        <w:ind w:firstLine="640" w:firstLineChars="200"/>
        <w:rPr>
          <w:rFonts w:hint="eastAsia" w:ascii="方正黑体_GBK" w:hAnsi="宋体" w:eastAsia="方正黑体_GBK" w:cs="宋体"/>
          <w:b/>
          <w:sz w:val="32"/>
          <w:szCs w:val="32"/>
        </w:rPr>
      </w:pPr>
      <w:r>
        <w:rPr>
          <w:rStyle w:val="7"/>
          <w:rFonts w:hint="eastAsia" w:ascii="方正黑体_GBK" w:hAnsi="宋体" w:eastAsia="方正黑体_GBK" w:cs="宋体"/>
          <w:b w:val="0"/>
          <w:sz w:val="32"/>
          <w:szCs w:val="32"/>
        </w:rPr>
        <w:t>四、其他需要说明的事项</w:t>
      </w:r>
    </w:p>
    <w:p>
      <w:pPr>
        <w:pStyle w:val="4"/>
        <w:widowControl/>
        <w:adjustRightInd w:val="0"/>
        <w:spacing w:beforeAutospacing="0" w:afterAutospacing="0"/>
        <w:ind w:firstLine="640" w:firstLineChars="200"/>
        <w:rPr>
          <w:rFonts w:hint="eastAsia" w:ascii="方正楷体_GBK" w:hAnsi="宋体" w:eastAsia="方正楷体_GBK" w:cs="宋体"/>
          <w:b/>
          <w:sz w:val="32"/>
          <w:szCs w:val="32"/>
        </w:rPr>
      </w:pPr>
      <w:r>
        <w:rPr>
          <w:rStyle w:val="7"/>
          <w:rFonts w:hint="eastAsia" w:ascii="方正楷体_GBK" w:hAnsi="宋体" w:eastAsia="方正楷体_GBK" w:cs="宋体"/>
          <w:b w:val="0"/>
          <w:sz w:val="32"/>
          <w:szCs w:val="32"/>
        </w:rPr>
        <w:t>（一）机关运行经费情况说明</w:t>
      </w:r>
    </w:p>
    <w:p>
      <w:pPr>
        <w:pStyle w:val="4"/>
        <w:widowControl/>
        <w:adjustRightInd w:val="0"/>
        <w:spacing w:beforeAutospacing="0" w:afterAutospacing="0"/>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2020年度本部门机关运行经费支出106.99万元，机关运行经费主要用于开支办公费8.82万元、水费0.27万元、电费5.66万元、邮电费25.15万元（其中职工通讯补贴9.05万元）、差旅费48.10万元、维修（护）费2.76万元、会议费7.38万元、培训费0.34万元、公务接待费0.17万元、公务用车运行维护费4.05万元、办公设备购置4.29万元。机关运行经费较上年决算数减少197.95万元，下降64.9%，主要原因是2020年将行政人员车贴没有统计在机关运行经费科目中。</w:t>
      </w:r>
    </w:p>
    <w:p>
      <w:pPr>
        <w:pStyle w:val="4"/>
        <w:widowControl/>
        <w:adjustRightInd w:val="0"/>
        <w:spacing w:beforeAutospacing="0" w:afterAutospacing="0"/>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本年度会议费支出7.38万元，较上年决算数减少0.66万元，下降8.2%，主要原因是2020年压缩会议开支。本年度培训费支出0.34万元，较上年决算数减少0.39万元，下降53.4%，主要原因是减少职工教育和培训费。</w:t>
      </w:r>
    </w:p>
    <w:p>
      <w:pPr>
        <w:pStyle w:val="4"/>
        <w:widowControl/>
        <w:adjustRightInd w:val="0"/>
        <w:spacing w:beforeAutospacing="0" w:afterAutospacing="0"/>
        <w:ind w:firstLine="640" w:firstLineChars="200"/>
        <w:rPr>
          <w:rFonts w:hint="eastAsia" w:ascii="方正楷体_GBK" w:hAnsi="宋体" w:eastAsia="方正楷体_GBK" w:cs="宋体"/>
          <w:b/>
          <w:sz w:val="32"/>
          <w:szCs w:val="32"/>
        </w:rPr>
      </w:pPr>
      <w:r>
        <w:rPr>
          <w:rStyle w:val="7"/>
          <w:rFonts w:hint="eastAsia" w:ascii="方正楷体_GBK" w:hAnsi="宋体" w:eastAsia="方正楷体_GBK" w:cs="宋体"/>
          <w:b w:val="0"/>
          <w:sz w:val="32"/>
          <w:szCs w:val="32"/>
        </w:rPr>
        <w:t>（二）国有资产占用情况说明</w:t>
      </w:r>
    </w:p>
    <w:p>
      <w:pPr>
        <w:pStyle w:val="4"/>
        <w:widowControl/>
        <w:adjustRightInd w:val="0"/>
        <w:spacing w:beforeAutospacing="0" w:afterAutospacing="0"/>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截至2020年12月31日，本部门共有车辆2辆。其中:机要通信用车1辆、应急保障用车1辆。</w:t>
      </w:r>
    </w:p>
    <w:p>
      <w:pPr>
        <w:pStyle w:val="4"/>
        <w:widowControl/>
        <w:adjustRightInd w:val="0"/>
        <w:spacing w:beforeAutospacing="0" w:afterAutospacing="0"/>
        <w:ind w:firstLine="640" w:firstLineChars="200"/>
        <w:rPr>
          <w:rFonts w:hint="eastAsia" w:ascii="方正楷体_GBK" w:hAnsi="宋体" w:eastAsia="方正楷体_GBK" w:cs="宋体"/>
          <w:b/>
          <w:sz w:val="32"/>
          <w:szCs w:val="32"/>
        </w:rPr>
      </w:pPr>
      <w:r>
        <w:rPr>
          <w:rStyle w:val="7"/>
          <w:rFonts w:hint="eastAsia" w:ascii="方正楷体_GBK" w:hAnsi="宋体" w:eastAsia="方正楷体_GBK" w:cs="宋体"/>
          <w:b w:val="0"/>
          <w:sz w:val="32"/>
          <w:szCs w:val="32"/>
        </w:rPr>
        <w:t>（三）政府采购支出情况说明</w:t>
      </w:r>
    </w:p>
    <w:p>
      <w:pPr>
        <w:pStyle w:val="4"/>
        <w:widowControl/>
        <w:adjustRightInd w:val="0"/>
        <w:spacing w:beforeAutospacing="0" w:afterAutospacing="0"/>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2020年度我单位未发生政府采购事项，无相关经费支出。</w:t>
      </w:r>
    </w:p>
    <w:p>
      <w:pPr>
        <w:pStyle w:val="4"/>
        <w:widowControl/>
        <w:adjustRightInd w:val="0"/>
        <w:spacing w:beforeAutospacing="0" w:afterAutospacing="0"/>
        <w:ind w:firstLine="640" w:firstLineChars="200"/>
        <w:rPr>
          <w:rFonts w:hint="eastAsia" w:ascii="方正黑体_GBK" w:hAnsi="宋体" w:eastAsia="方正黑体_GBK" w:cs="宋体"/>
          <w:b/>
          <w:sz w:val="32"/>
          <w:szCs w:val="32"/>
        </w:rPr>
      </w:pPr>
      <w:r>
        <w:rPr>
          <w:rStyle w:val="7"/>
          <w:rFonts w:hint="eastAsia" w:ascii="方正黑体_GBK" w:hAnsi="宋体" w:eastAsia="方正黑体_GBK" w:cs="宋体"/>
          <w:b w:val="0"/>
          <w:sz w:val="32"/>
          <w:szCs w:val="32"/>
        </w:rPr>
        <w:t>五、预算绩效管理情况说明</w:t>
      </w:r>
    </w:p>
    <w:p>
      <w:pPr>
        <w:pStyle w:val="4"/>
        <w:widowControl/>
        <w:adjustRightInd w:val="0"/>
        <w:spacing w:beforeAutospacing="0" w:afterAutospacing="0"/>
        <w:ind w:firstLine="640" w:firstLineChars="200"/>
        <w:rPr>
          <w:rFonts w:hint="eastAsia" w:ascii="方正楷体_GBK" w:hAnsi="宋体" w:eastAsia="方正楷体_GBK" w:cs="宋体"/>
          <w:b/>
          <w:sz w:val="32"/>
          <w:szCs w:val="32"/>
        </w:rPr>
      </w:pPr>
      <w:r>
        <w:rPr>
          <w:rStyle w:val="7"/>
          <w:rFonts w:hint="eastAsia" w:ascii="方正楷体_GBK" w:hAnsi="宋体" w:eastAsia="方正楷体_GBK" w:cs="宋体"/>
          <w:b w:val="0"/>
          <w:sz w:val="32"/>
          <w:szCs w:val="32"/>
        </w:rPr>
        <w:t>（一）预算绩效管理工作开展情况</w:t>
      </w:r>
    </w:p>
    <w:p>
      <w:pPr>
        <w:pStyle w:val="4"/>
        <w:widowControl/>
        <w:adjustRightInd w:val="0"/>
        <w:spacing w:beforeAutospacing="0" w:afterAutospacing="0"/>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根据预算绩效管理要求，本单位对5个项目开展了绩效自评，涉及资金1188.65万元。</w:t>
      </w:r>
    </w:p>
    <w:p>
      <w:pPr>
        <w:pStyle w:val="4"/>
        <w:widowControl/>
        <w:numPr>
          <w:ilvl w:val="0"/>
          <w:numId w:val="2"/>
        </w:numPr>
        <w:adjustRightInd w:val="0"/>
        <w:spacing w:beforeAutospacing="0" w:afterAutospacing="0"/>
        <w:ind w:firstLine="642" w:firstLineChars="200"/>
        <w:rPr>
          <w:rFonts w:hint="eastAsia" w:ascii="方正仿宋_GBK" w:hAnsi="宋体" w:eastAsia="方正仿宋_GBK" w:cs="宋体"/>
          <w:sz w:val="32"/>
          <w:szCs w:val="32"/>
        </w:rPr>
      </w:pPr>
      <w:r>
        <w:rPr>
          <w:rFonts w:hint="eastAsia" w:ascii="方正仿宋_GBK" w:hAnsi="宋体" w:eastAsia="方正仿宋_GBK" w:cs="宋体"/>
          <w:b/>
          <w:bCs/>
          <w:sz w:val="32"/>
          <w:szCs w:val="32"/>
          <w:lang w:eastAsia="zh-CN"/>
        </w:rPr>
        <w:t>脱贫攻坚</w:t>
      </w:r>
      <w:r>
        <w:rPr>
          <w:rFonts w:hint="eastAsia" w:ascii="方正仿宋_GBK" w:hAnsi="宋体" w:eastAsia="方正仿宋_GBK" w:cs="宋体"/>
          <w:b/>
          <w:bCs/>
          <w:sz w:val="32"/>
          <w:szCs w:val="32"/>
        </w:rPr>
        <w:t>类经费项目综合评价得分100分。</w:t>
      </w:r>
      <w:r>
        <w:rPr>
          <w:rFonts w:hint="eastAsia" w:ascii="方正仿宋_GBK" w:hAnsi="宋体" w:eastAsia="方正仿宋_GBK" w:cs="宋体"/>
          <w:sz w:val="32"/>
          <w:szCs w:val="32"/>
        </w:rPr>
        <w:t>该项目由镇经发办内设的扶贫办具体组织实施，镇政府领导小组对全镇扶贫工作进行监督管理。完成项目为产业便道建设3300米，</w:t>
      </w:r>
      <w:r>
        <w:rPr>
          <w:rFonts w:hint="eastAsia" w:ascii="方正仿宋_GBK" w:hAnsi="宋体" w:eastAsia="方正仿宋_GBK" w:cs="宋体"/>
          <w:sz w:val="32"/>
          <w:szCs w:val="32"/>
          <w:lang w:eastAsia="zh-CN"/>
        </w:rPr>
        <w:t>发展养殖</w:t>
      </w:r>
      <w:r>
        <w:rPr>
          <w:rFonts w:hint="eastAsia" w:ascii="方正仿宋_GBK" w:hAnsi="宋体" w:eastAsia="方正仿宋_GBK" w:cs="宋体"/>
          <w:sz w:val="32"/>
          <w:szCs w:val="32"/>
          <w:lang w:val="en-US" w:eastAsia="zh-CN"/>
        </w:rPr>
        <w:t>/种植</w:t>
      </w:r>
      <w:r>
        <w:rPr>
          <w:rFonts w:hint="eastAsia" w:ascii="方正仿宋_GBK" w:hAnsi="宋体" w:eastAsia="方正仿宋_GBK" w:cs="宋体"/>
          <w:sz w:val="32"/>
          <w:szCs w:val="32"/>
        </w:rPr>
        <w:t>产业282户，</w:t>
      </w:r>
      <w:r>
        <w:rPr>
          <w:rFonts w:hint="eastAsia" w:ascii="方正仿宋_GBK" w:hAnsi="宋体" w:eastAsia="方正仿宋_GBK" w:cs="宋体"/>
          <w:sz w:val="32"/>
          <w:szCs w:val="32"/>
          <w:lang w:eastAsia="zh-CN"/>
        </w:rPr>
        <w:t>“两不愁三保障”</w:t>
      </w:r>
      <w:r>
        <w:rPr>
          <w:rFonts w:hint="eastAsia" w:ascii="方正仿宋_GBK" w:hAnsi="宋体" w:eastAsia="方正仿宋_GBK" w:cs="宋体"/>
          <w:sz w:val="32"/>
          <w:szCs w:val="32"/>
        </w:rPr>
        <w:t>房屋维修77户，公益性岗位68人，建卡贫困户医疗保险。完成136.92万元扶贫经费的使用，其中：（1）建卡贫困户医疗参保10.27万元；（2）建卡贫困户公益性岗位开发3.6万元；（3）贫困户产业发展60万元；（4）产业便道30万元；（5）脱贫攻坚补短板10万元；（6）个性化困难帮扶27.2万元；（7）工作经费0.85万元。改善了贫困村、贫困户生产生活条件、增加了收入、进一步巩固了脱贫攻坚成果，贫困户反应良好。并且，严格按照相应的业务管理制度，规范各项经费的开支。做到了资金使用规范，符合国家财经法规和财务管理以及有关专项资金管理办法的规定；资金的拨付有完整的审批程序和手续；不存在截留、挤占、挪用、虚列支出等情况。做到了会计核算准确、财务资料完整。</w:t>
      </w:r>
    </w:p>
    <w:p>
      <w:pPr>
        <w:pStyle w:val="4"/>
        <w:widowControl/>
        <w:numPr>
          <w:ilvl w:val="0"/>
          <w:numId w:val="2"/>
        </w:numPr>
        <w:adjustRightInd w:val="0"/>
        <w:spacing w:beforeAutospacing="0" w:afterAutospacing="0"/>
        <w:ind w:firstLine="642" w:firstLineChars="200"/>
        <w:rPr>
          <w:rFonts w:hint="eastAsia" w:ascii="方正仿宋_GBK" w:hAnsi="宋体" w:eastAsia="方正仿宋_GBK" w:cs="宋体"/>
          <w:sz w:val="32"/>
          <w:szCs w:val="32"/>
        </w:rPr>
      </w:pPr>
      <w:r>
        <w:rPr>
          <w:rFonts w:hint="eastAsia" w:ascii="方正仿宋_GBK" w:hAnsi="宋体" w:eastAsia="方正仿宋_GBK" w:cs="宋体"/>
          <w:b/>
          <w:bCs/>
          <w:sz w:val="32"/>
          <w:szCs w:val="32"/>
        </w:rPr>
        <w:t>基础设施类经费项目综合评价得分100分。</w:t>
      </w:r>
      <w:r>
        <w:rPr>
          <w:rFonts w:hint="eastAsia" w:ascii="方正仿宋_GBK" w:hAnsi="宋体" w:eastAsia="方正仿宋_GBK" w:cs="宋体"/>
          <w:sz w:val="32"/>
          <w:szCs w:val="32"/>
        </w:rPr>
        <w:t>该项目严格执行了基础设施建设的相关规定，共完成污水管网建设950米、农村一事一议道路硬化建设4000米、村（社区）公共安全设施、设备和村（社区）养老托养院建设、农村道路养护37.2公里。使用资金308.45万元，其中：（1）村社区交通和公共安全设施14.5万元；（2）村社区公共安全设施建设13.82万元；（3）村社区养老托养院建设52.74万元；（4）农村垃圾清运、污水管网108.25万元；（5）村级一事一议的农村公路建设115.42万元；（6）公路养护3.72万元。该项目的建成对推动我镇基础设施发展对量的扩张转变到提高标准、提升质量、增加功能、落实服务和管理上取得了较好成绩。增加了各项基础设施和设备，取得了较好的经济效益、社会效益、生态效益，改善了居民生产生活条件、环境条件，有效地促进了生态发展，各项基础设施建设得到了可持续发展，工程质量、数量、施工进度均按合同要求完成，为百姓交上了一份满意的答卷。并且，严格按照相应的业务管理制度，规范各项经费的开支。做到了资金使用规范，符合国家财经法规和财务管理以及有关专项资金管理办法的规定；资金的拨付有完整的审批程序和手续；不存在截留、挤占、挪用、虚列支出等情况。做到了会计核算准确、财务资料完整。</w:t>
      </w:r>
    </w:p>
    <w:p>
      <w:pPr>
        <w:pStyle w:val="4"/>
        <w:widowControl/>
        <w:numPr>
          <w:ilvl w:val="0"/>
          <w:numId w:val="2"/>
        </w:numPr>
        <w:adjustRightInd w:val="0"/>
        <w:spacing w:beforeAutospacing="0" w:afterAutospacing="0"/>
        <w:ind w:firstLine="642" w:firstLineChars="200"/>
        <w:rPr>
          <w:rFonts w:hint="eastAsia" w:ascii="方正仿宋_GBK" w:hAnsi="宋体" w:eastAsia="方正仿宋_GBK" w:cs="宋体"/>
          <w:sz w:val="32"/>
          <w:szCs w:val="32"/>
        </w:rPr>
      </w:pPr>
      <w:r>
        <w:rPr>
          <w:rFonts w:hint="eastAsia" w:ascii="方正仿宋_GBK" w:hAnsi="宋体" w:eastAsia="方正仿宋_GBK" w:cs="宋体"/>
          <w:b/>
          <w:bCs/>
          <w:sz w:val="32"/>
          <w:szCs w:val="32"/>
        </w:rPr>
        <w:t>生态环保类经费项目综合评价得分100分。</w:t>
      </w:r>
      <w:r>
        <w:rPr>
          <w:rFonts w:hint="eastAsia" w:ascii="方正仿宋_GBK" w:hAnsi="宋体" w:eastAsia="方正仿宋_GBK" w:cs="宋体"/>
          <w:sz w:val="32"/>
          <w:szCs w:val="32"/>
        </w:rPr>
        <w:t>镇规划建设环境保护管理办公室对村镇保洁采取市场经营化管理模式，经政府确认由重庆市梁平区蟠龙保洁有限责任公司组织实施，根据奖惩办法加减积分按月计算支付保洁费用。项目涉及农村综合清扫保洁、植树造林、绿化抚育和森林管护、松材线虫除治、垃圾分类、农村改厕等。使用资金152.74万元，其中：（1）污水处理防治费1.39万元；（2）防治污染物垃圾分类费11.22万元；（3）小城镇基础设施垃圾桶购置费1.22万元；（4）农村改侧补助支出38万元；（5）植树造林、森林抚育支出37.5万元；（6）天然林管护人员补助费13.38万元；（7）森林松线虫防治费50万元。各项生态、环境保护项目在决策、管理、实施方面均符合相关规定，安排的经费使用目的明确。2、并且，严格按照相应的业务管理制度，规范各项经费的开支。做到了资金使用规范，符合国家财经法规和财务管理以及有关专项资金管理办法的规定；资金的拨付有完整的审批程序和手续；不存在截留、挤占、挪用、虚列支出等情况。做到了会计核算准确、财务资料完整。</w:t>
      </w:r>
    </w:p>
    <w:p>
      <w:pPr>
        <w:pStyle w:val="4"/>
        <w:widowControl/>
        <w:numPr>
          <w:ilvl w:val="0"/>
          <w:numId w:val="2"/>
        </w:numPr>
        <w:adjustRightInd w:val="0"/>
        <w:spacing w:beforeAutospacing="0" w:afterAutospacing="0"/>
        <w:ind w:firstLine="642" w:firstLineChars="200"/>
        <w:rPr>
          <w:rFonts w:hint="eastAsia" w:ascii="方正仿宋_GBK" w:hAnsi="宋体" w:eastAsia="方正仿宋_GBK" w:cs="宋体"/>
          <w:sz w:val="32"/>
          <w:szCs w:val="32"/>
        </w:rPr>
      </w:pPr>
      <w:r>
        <w:rPr>
          <w:rFonts w:hint="eastAsia" w:ascii="方正仿宋_GBK" w:hAnsi="宋体" w:eastAsia="方正仿宋_GBK" w:cs="宋体"/>
          <w:b/>
          <w:bCs/>
          <w:sz w:val="32"/>
          <w:szCs w:val="32"/>
        </w:rPr>
        <w:t>社会保障类经费项目综合评价得分100分。</w:t>
      </w:r>
      <w:r>
        <w:rPr>
          <w:rFonts w:hint="eastAsia" w:ascii="方正仿宋_GBK" w:hAnsi="宋体" w:eastAsia="方正仿宋_GBK" w:cs="宋体"/>
          <w:sz w:val="32"/>
          <w:szCs w:val="32"/>
        </w:rPr>
        <w:t>镇政府坚持“权为民所用，情为民所系，利为民所谋”的宗旨观念和“以民为本，为民解困，为民服务，依法行政，规范管理”的工作理念，我镇社会保障工作</w:t>
      </w:r>
      <w:r>
        <w:rPr>
          <w:rFonts w:hint="eastAsia" w:ascii="方正仿宋_GBK" w:hAnsi="宋体" w:eastAsia="方正仿宋_GBK" w:cs="宋体"/>
          <w:sz w:val="32"/>
          <w:szCs w:val="32"/>
          <w:lang w:eastAsia="zh-CN"/>
        </w:rPr>
        <w:t>圆满</w:t>
      </w:r>
      <w:r>
        <w:rPr>
          <w:rFonts w:hint="eastAsia" w:ascii="方正仿宋_GBK" w:hAnsi="宋体" w:eastAsia="方正仿宋_GBK" w:cs="宋体"/>
          <w:sz w:val="32"/>
          <w:szCs w:val="32"/>
        </w:rPr>
        <w:t>完成了各项任务，增加了居民幸福指数，保障了乡镇两级机构正常运转和惠民资金需要。项目涉及村、社两级政权建设、抚恤、五保、救灾救济、防汛抗旱、</w:t>
      </w:r>
      <w:r>
        <w:rPr>
          <w:rFonts w:hint="eastAsia" w:ascii="方正仿宋_GBK" w:hAnsi="宋体" w:eastAsia="方正仿宋_GBK" w:cs="宋体"/>
          <w:sz w:val="32"/>
          <w:szCs w:val="32"/>
          <w:lang w:eastAsia="zh-CN"/>
        </w:rPr>
        <w:t>“三支一扶”</w:t>
      </w:r>
      <w:r>
        <w:rPr>
          <w:rFonts w:hint="eastAsia" w:ascii="方正仿宋_GBK" w:hAnsi="宋体" w:eastAsia="方正仿宋_GBK" w:cs="宋体"/>
          <w:sz w:val="32"/>
          <w:szCs w:val="32"/>
        </w:rPr>
        <w:t>、大学村官、公益性岗位和各种慰问等项目。使用资金507.58万元，其中：（1）</w:t>
      </w:r>
      <w:r>
        <w:rPr>
          <w:rFonts w:hint="eastAsia" w:ascii="方正仿宋_GBK" w:hAnsi="宋体" w:eastAsia="方正仿宋_GBK" w:cs="宋体"/>
          <w:sz w:val="32"/>
          <w:szCs w:val="32"/>
          <w:lang w:eastAsia="zh-CN"/>
        </w:rPr>
        <w:t>“三支一扶”</w:t>
      </w:r>
      <w:r>
        <w:rPr>
          <w:rFonts w:hint="eastAsia" w:ascii="方正仿宋_GBK" w:hAnsi="宋体" w:eastAsia="方正仿宋_GBK" w:cs="宋体"/>
          <w:sz w:val="32"/>
          <w:szCs w:val="32"/>
        </w:rPr>
        <w:t>、选调生、村官人员经费31.46万元；（2）防汛抗旱购物质经费0.5万元。（3）困难群众住房租金补贴支出0.01万元；（4）中央资金冬荒春饿自然灾害生活补助6.4万元；（5）地方财政资金冬荒春饿自然灾害生活补助5.6万元；（6）洪灾倒房重建自然灾害灾补助5万元；（7）高龄补贴费、其他困难人员慰问费支出13.61万元；（8） 独生子女及困难户慰问费支出3.12万元；（9）残疾人用电补助、志愿者补助、生活补助经费支出3.42万元；（10）当年的非农户居民五困难户慰问费、五保人员经费11.38万元；（11）当年的农村困难户慰问费、五保人员经费16.95万元；（12）退休干部死亡一次性抚恤25.64万元；（13）村两级基层政权组织建设费46.5万元；（14）村社区镇机关公益</w:t>
      </w:r>
      <w:r>
        <w:rPr>
          <w:rFonts w:hint="eastAsia" w:ascii="方正仿宋_GBK" w:hAnsi="宋体" w:eastAsia="方正仿宋_GBK" w:cs="宋体"/>
          <w:sz w:val="32"/>
          <w:szCs w:val="32"/>
          <w:lang w:eastAsia="zh-CN"/>
        </w:rPr>
        <w:t>性</w:t>
      </w:r>
      <w:r>
        <w:rPr>
          <w:rFonts w:hint="eastAsia" w:ascii="方正仿宋_GBK" w:hAnsi="宋体" w:eastAsia="方正仿宋_GBK" w:cs="宋体"/>
          <w:sz w:val="32"/>
          <w:szCs w:val="32"/>
        </w:rPr>
        <w:t>岗位人员经费87.49万元；（15）村社区村组干部工资、办公费、五险一金的补助支出250.5万元。安排的各项资金使用目标明确，及时拨付资金，确保专款专用，提高了困难人群生活质量和满意度。</w:t>
      </w:r>
    </w:p>
    <w:p>
      <w:pPr>
        <w:pStyle w:val="4"/>
        <w:widowControl/>
        <w:adjustRightInd w:val="0"/>
        <w:spacing w:beforeAutospacing="0" w:afterAutospacing="0"/>
        <w:ind w:firstLine="642" w:firstLineChars="200"/>
        <w:rPr>
          <w:rFonts w:hint="eastAsia" w:ascii="方正仿宋_GBK" w:hAnsi="宋体" w:eastAsia="方正仿宋_GBK" w:cs="宋体"/>
          <w:sz w:val="32"/>
          <w:szCs w:val="32"/>
        </w:rPr>
      </w:pPr>
      <w:r>
        <w:rPr>
          <w:rFonts w:hint="eastAsia" w:ascii="方正仿宋_GBK" w:hAnsi="宋体" w:eastAsia="方正仿宋_GBK" w:cs="宋体"/>
          <w:b/>
          <w:bCs/>
          <w:sz w:val="32"/>
          <w:szCs w:val="32"/>
        </w:rPr>
        <w:t>5、社会事务类经费项目综合评价得分100分。</w:t>
      </w:r>
      <w:r>
        <w:rPr>
          <w:rFonts w:hint="eastAsia" w:ascii="方正仿宋_GBK" w:hAnsi="宋体" w:eastAsia="方正仿宋_GBK" w:cs="宋体"/>
          <w:sz w:val="32"/>
          <w:szCs w:val="32"/>
        </w:rPr>
        <w:t>该项目按照促进社会公共服务，推进社会各项事业健康发展的有关要求，严格按审批程序申报审核，待项目完工验收合格后，及时拨付资金，项目质量标准规模均达到预期目标，群众满意度较高。该项目涉及动植物防</w:t>
      </w:r>
      <w:r>
        <w:rPr>
          <w:rFonts w:hint="eastAsia" w:ascii="方正仿宋_GBK" w:hAnsi="宋体" w:eastAsia="方正仿宋_GBK" w:cs="宋体"/>
          <w:sz w:val="32"/>
          <w:szCs w:val="32"/>
          <w:lang w:eastAsia="zh-CN"/>
        </w:rPr>
        <w:t>疫</w:t>
      </w:r>
      <w:r>
        <w:rPr>
          <w:rFonts w:hint="eastAsia" w:ascii="方正仿宋_GBK" w:hAnsi="宋体" w:eastAsia="方正仿宋_GBK" w:cs="宋体"/>
          <w:sz w:val="32"/>
          <w:szCs w:val="32"/>
        </w:rPr>
        <w:t>、人大代表活动、人口普查、村社区食药、征兵工作、村劝导站运维、村社区退役站、公共公文化工作、规上企业发展、社保就业、老党员生活补助等；使用资金82.99万元，其中：（1）动植物防</w:t>
      </w:r>
      <w:r>
        <w:rPr>
          <w:rFonts w:hint="eastAsia" w:ascii="方正仿宋_GBK" w:hAnsi="宋体" w:eastAsia="方正仿宋_GBK" w:cs="宋体"/>
          <w:sz w:val="32"/>
          <w:szCs w:val="32"/>
          <w:lang w:eastAsia="zh-CN"/>
        </w:rPr>
        <w:t>疫</w:t>
      </w:r>
      <w:r>
        <w:rPr>
          <w:rFonts w:hint="eastAsia" w:ascii="方正仿宋_GBK" w:hAnsi="宋体" w:eastAsia="方正仿宋_GBK" w:cs="宋体"/>
          <w:sz w:val="32"/>
          <w:szCs w:val="32"/>
        </w:rPr>
        <w:t>员补助支出4万元；（2）农业洪灾补助支出2.6万元；（3）农业生产资料补助经费1.57万元；（4）有机肥推广示范补助18.97万元；（5）企业发展管理工作经费支出0.7万元；（6）规上企业发展的奖励工作经费2.5万元；（7）公共公文化工作经费0.42万元；（8）人大代表活动经费5.76万元；（9）人大代表专用办公经费0.5万元；（10）人口普查工作经费14.35万元；（11）团支部和妇联工作经费0.3万元；（12）社保就业专用工作经费1万元；（13）老党员生活补助14.99万元；（14）村社区食药员工资4.6万元；（15）征兵工作费0.8万元；（16）村劝导员工资5.76万元；（17）村社区退役站经费支出4.17万元。该项目的实施为各村（社区）两委的正常运转提供了有力的资金保障，保证了村（社区）的正常运转，使各村（社区）村务公开、基础设施建设、惠民政策落实等工作得到了有效的民主监督，有力的促进了农村党风廉政建设，为乡村振兴工作的有序开展提供了强有力的资金和制度保障。</w:t>
      </w:r>
    </w:p>
    <w:p>
      <w:pPr>
        <w:pStyle w:val="4"/>
        <w:widowControl/>
        <w:numPr>
          <w:ilvl w:val="0"/>
          <w:numId w:val="3"/>
        </w:numPr>
        <w:adjustRightInd w:val="0"/>
        <w:spacing w:beforeAutospacing="0" w:afterAutospacing="0"/>
        <w:ind w:left="0" w:firstLine="640" w:firstLineChars="200"/>
        <w:rPr>
          <w:rStyle w:val="7"/>
          <w:rFonts w:hint="eastAsia" w:ascii="方正楷体_GBK" w:hAnsi="宋体" w:eastAsia="方正楷体_GBK" w:cs="宋体"/>
          <w:b w:val="0"/>
          <w:sz w:val="32"/>
          <w:szCs w:val="32"/>
        </w:rPr>
      </w:pPr>
      <w:r>
        <w:rPr>
          <w:rStyle w:val="7"/>
          <w:rFonts w:hint="eastAsia" w:ascii="方正楷体_GBK" w:hAnsi="宋体" w:eastAsia="方正楷体_GBK" w:cs="宋体"/>
          <w:b w:val="0"/>
          <w:sz w:val="32"/>
          <w:szCs w:val="32"/>
        </w:rPr>
        <w:t>绩效自评结果</w:t>
      </w:r>
    </w:p>
    <w:p>
      <w:pPr>
        <w:pStyle w:val="4"/>
        <w:widowControl/>
        <w:adjustRightInd w:val="0"/>
        <w:spacing w:beforeAutospacing="0" w:afterAutospacing="0"/>
        <w:ind w:firstLine="642" w:firstLineChars="200"/>
        <w:rPr>
          <w:rStyle w:val="7"/>
          <w:rFonts w:hint="eastAsia" w:ascii="方正仿宋_GBK" w:hAnsi="宋体" w:eastAsia="方正仿宋_GBK" w:cs="宋体"/>
          <w:sz w:val="32"/>
          <w:szCs w:val="32"/>
        </w:rPr>
      </w:pPr>
      <w:r>
        <w:rPr>
          <w:rStyle w:val="7"/>
          <w:rFonts w:hint="eastAsia" w:ascii="方正仿宋_GBK" w:hAnsi="宋体" w:eastAsia="方正仿宋_GBK" w:cs="宋体"/>
          <w:sz w:val="32"/>
          <w:szCs w:val="32"/>
        </w:rPr>
        <w:t>1.绩效自评表</w:t>
      </w:r>
    </w:p>
    <w:p>
      <w:pPr>
        <w:pStyle w:val="4"/>
        <w:widowControl/>
        <w:adjustRightInd w:val="0"/>
        <w:spacing w:beforeAutospacing="0" w:afterAutospacing="0"/>
        <w:ind w:firstLine="640" w:firstLineChars="200"/>
        <w:rPr>
          <w:rStyle w:val="7"/>
          <w:rFonts w:hint="eastAsia" w:ascii="方正仿宋_GBK" w:hAnsi="宋体" w:eastAsia="方正仿宋_GBK" w:cs="宋体"/>
          <w:b w:val="0"/>
          <w:sz w:val="32"/>
          <w:szCs w:val="32"/>
        </w:rPr>
      </w:pPr>
      <w:r>
        <w:rPr>
          <w:rStyle w:val="7"/>
          <w:rFonts w:hint="eastAsia" w:ascii="方正仿宋_GBK" w:hAnsi="宋体" w:eastAsia="方正仿宋_GBK" w:cs="宋体"/>
          <w:b w:val="0"/>
          <w:sz w:val="32"/>
          <w:szCs w:val="32"/>
        </w:rPr>
        <w:t>（1）部门整体绩效自评表</w:t>
      </w:r>
    </w:p>
    <w:p>
      <w:pPr>
        <w:pStyle w:val="4"/>
        <w:widowControl/>
        <w:adjustRightInd w:val="0"/>
        <w:spacing w:beforeAutospacing="0" w:afterAutospacing="0"/>
        <w:ind w:firstLine="640" w:firstLineChars="200"/>
        <w:rPr>
          <w:rStyle w:val="7"/>
          <w:rFonts w:hint="eastAsia" w:ascii="方正仿宋_GBK" w:hAnsi="宋体" w:eastAsia="方正仿宋_GBK" w:cs="宋体"/>
          <w:b w:val="0"/>
          <w:sz w:val="32"/>
          <w:szCs w:val="32"/>
        </w:rPr>
      </w:pPr>
    </w:p>
    <w:p>
      <w:pPr>
        <w:pStyle w:val="9"/>
        <w:tabs>
          <w:tab w:val="center" w:pos="4153"/>
          <w:tab w:val="left" w:pos="7275"/>
        </w:tabs>
        <w:adjustRightInd w:val="0"/>
        <w:ind w:firstLine="0" w:firstLineChars="0"/>
        <w:jc w:val="center"/>
        <w:rPr>
          <w:rFonts w:hint="eastAsia" w:ascii="方正黑体_GBK" w:hAnsi="宋体" w:eastAsia="方正黑体_GBK" w:cs="宋体"/>
          <w:kern w:val="0"/>
          <w:sz w:val="32"/>
          <w:szCs w:val="28"/>
        </w:rPr>
      </w:pPr>
      <w:r>
        <w:rPr>
          <w:rFonts w:hint="eastAsia" w:ascii="方正黑体_GBK" w:hAnsi="宋体" w:eastAsia="方正黑体_GBK" w:cs="宋体"/>
          <w:color w:val="000000"/>
          <w:kern w:val="0"/>
          <w:sz w:val="32"/>
          <w:szCs w:val="28"/>
        </w:rPr>
        <w:t>部门整体绩效自评表</w:t>
      </w:r>
    </w:p>
    <w:tbl>
      <w:tblPr>
        <w:tblStyle w:val="5"/>
        <w:tblW w:w="10080" w:type="dxa"/>
        <w:jc w:val="center"/>
        <w:tblLayout w:type="fixed"/>
        <w:tblCellMar>
          <w:top w:w="0" w:type="dxa"/>
          <w:left w:w="108" w:type="dxa"/>
          <w:bottom w:w="0" w:type="dxa"/>
          <w:right w:w="108" w:type="dxa"/>
        </w:tblCellMar>
      </w:tblPr>
      <w:tblGrid>
        <w:gridCol w:w="804"/>
        <w:gridCol w:w="660"/>
        <w:gridCol w:w="166"/>
        <w:gridCol w:w="266"/>
        <w:gridCol w:w="960"/>
        <w:gridCol w:w="621"/>
        <w:gridCol w:w="471"/>
        <w:gridCol w:w="1206"/>
        <w:gridCol w:w="1278"/>
        <w:gridCol w:w="804"/>
        <w:gridCol w:w="895"/>
        <w:gridCol w:w="869"/>
        <w:gridCol w:w="1080"/>
      </w:tblGrid>
      <w:tr>
        <w:tblPrEx>
          <w:tblCellMar>
            <w:top w:w="0" w:type="dxa"/>
            <w:left w:w="108" w:type="dxa"/>
            <w:bottom w:w="0" w:type="dxa"/>
            <w:right w:w="108" w:type="dxa"/>
          </w:tblCellMar>
        </w:tblPrEx>
        <w:trPr>
          <w:trHeight w:val="422" w:hRule="atLeast"/>
          <w:jc w:val="center"/>
        </w:trPr>
        <w:tc>
          <w:tcPr>
            <w:tcW w:w="804" w:type="dxa"/>
            <w:vMerge w:val="restart"/>
            <w:tcBorders>
              <w:top w:val="single" w:color="auto" w:sz="4" w:space="0"/>
              <w:left w:val="single" w:color="auto" w:sz="4" w:space="0"/>
              <w:bottom w:val="single" w:color="000000" w:sz="4" w:space="0"/>
              <w:right w:val="single" w:color="auto" w:sz="4" w:space="0"/>
            </w:tcBorders>
            <w:vAlign w:val="center"/>
          </w:tcPr>
          <w:p>
            <w:pPr>
              <w:widowControl/>
              <w:adjustRightInd w:val="0"/>
              <w:spacing w:line="40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主管</w:t>
            </w:r>
          </w:p>
          <w:p>
            <w:pPr>
              <w:widowControl/>
              <w:adjustRightInd w:val="0"/>
              <w:spacing w:line="40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部门</w:t>
            </w:r>
          </w:p>
        </w:tc>
        <w:tc>
          <w:tcPr>
            <w:tcW w:w="826"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adjustRightInd w:val="0"/>
              <w:spacing w:line="40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蟠龙镇人民政府</w:t>
            </w:r>
          </w:p>
        </w:tc>
        <w:tc>
          <w:tcPr>
            <w:tcW w:w="1226"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adjustRightInd w:val="0"/>
              <w:spacing w:line="40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财务</w:t>
            </w:r>
          </w:p>
          <w:p>
            <w:pPr>
              <w:widowControl/>
              <w:adjustRightInd w:val="0"/>
              <w:spacing w:line="40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科室</w:t>
            </w:r>
          </w:p>
        </w:tc>
        <w:tc>
          <w:tcPr>
            <w:tcW w:w="621" w:type="dxa"/>
            <w:vMerge w:val="restart"/>
            <w:tcBorders>
              <w:top w:val="single" w:color="auto" w:sz="4" w:space="0"/>
              <w:left w:val="single" w:color="auto" w:sz="4" w:space="0"/>
              <w:bottom w:val="single" w:color="000000" w:sz="4" w:space="0"/>
              <w:right w:val="single" w:color="000000" w:sz="4" w:space="0"/>
            </w:tcBorders>
            <w:vAlign w:val="center"/>
          </w:tcPr>
          <w:p>
            <w:pPr>
              <w:widowControl/>
              <w:adjustRightInd w:val="0"/>
              <w:spacing w:line="40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财政办</w:t>
            </w:r>
          </w:p>
        </w:tc>
        <w:tc>
          <w:tcPr>
            <w:tcW w:w="1677" w:type="dxa"/>
            <w:gridSpan w:val="2"/>
            <w:tcBorders>
              <w:top w:val="single" w:color="auto" w:sz="4" w:space="0"/>
              <w:left w:val="nil"/>
              <w:bottom w:val="single" w:color="auto" w:sz="4" w:space="0"/>
              <w:right w:val="single" w:color="auto" w:sz="4" w:space="0"/>
            </w:tcBorders>
            <w:vAlign w:val="center"/>
          </w:tcPr>
          <w:p>
            <w:pPr>
              <w:widowControl/>
              <w:adjustRightInd w:val="0"/>
              <w:spacing w:line="40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自评总分（分）</w:t>
            </w:r>
          </w:p>
        </w:tc>
        <w:tc>
          <w:tcPr>
            <w:tcW w:w="4926" w:type="dxa"/>
            <w:gridSpan w:val="5"/>
            <w:tcBorders>
              <w:top w:val="single" w:color="auto" w:sz="4" w:space="0"/>
              <w:left w:val="nil"/>
              <w:bottom w:val="single" w:color="auto" w:sz="4" w:space="0"/>
              <w:right w:val="single" w:color="000000" w:sz="4" w:space="0"/>
            </w:tcBorders>
            <w:vAlign w:val="center"/>
          </w:tcPr>
          <w:p>
            <w:pPr>
              <w:widowControl/>
              <w:adjustRightInd w:val="0"/>
              <w:spacing w:line="40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100</w:t>
            </w:r>
          </w:p>
        </w:tc>
      </w:tr>
      <w:tr>
        <w:tblPrEx>
          <w:tblCellMar>
            <w:top w:w="0" w:type="dxa"/>
            <w:left w:w="108" w:type="dxa"/>
            <w:bottom w:w="0" w:type="dxa"/>
            <w:right w:w="108" w:type="dxa"/>
          </w:tblCellMar>
        </w:tblPrEx>
        <w:trPr>
          <w:trHeight w:val="1123" w:hRule="atLeast"/>
          <w:jc w:val="center"/>
        </w:trPr>
        <w:tc>
          <w:tcPr>
            <w:tcW w:w="804"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val="0"/>
              <w:spacing w:line="400" w:lineRule="exact"/>
              <w:jc w:val="center"/>
              <w:rPr>
                <w:rFonts w:hint="eastAsia" w:ascii="方正仿宋_GBK" w:hAnsi="宋体" w:eastAsia="方正仿宋_GBK" w:cs="宋体"/>
                <w:color w:val="000000"/>
                <w:kern w:val="0"/>
                <w:sz w:val="28"/>
                <w:szCs w:val="28"/>
              </w:rPr>
            </w:pPr>
          </w:p>
        </w:tc>
        <w:tc>
          <w:tcPr>
            <w:tcW w:w="826"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pacing w:line="400" w:lineRule="exact"/>
              <w:jc w:val="center"/>
              <w:rPr>
                <w:rFonts w:hint="eastAsia" w:ascii="方正仿宋_GBK" w:hAnsi="宋体" w:eastAsia="方正仿宋_GBK" w:cs="宋体"/>
                <w:color w:val="000000"/>
                <w:kern w:val="0"/>
                <w:sz w:val="28"/>
                <w:szCs w:val="28"/>
              </w:rPr>
            </w:pPr>
          </w:p>
        </w:tc>
        <w:tc>
          <w:tcPr>
            <w:tcW w:w="1226"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adjustRightInd w:val="0"/>
              <w:spacing w:line="400" w:lineRule="exact"/>
              <w:jc w:val="center"/>
              <w:rPr>
                <w:rFonts w:hint="eastAsia" w:ascii="方正仿宋_GBK" w:hAnsi="宋体" w:eastAsia="方正仿宋_GBK" w:cs="宋体"/>
                <w:color w:val="000000"/>
                <w:kern w:val="0"/>
                <w:sz w:val="28"/>
                <w:szCs w:val="28"/>
              </w:rPr>
            </w:pPr>
          </w:p>
        </w:tc>
        <w:tc>
          <w:tcPr>
            <w:tcW w:w="621" w:type="dxa"/>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pacing w:line="400" w:lineRule="exact"/>
              <w:jc w:val="center"/>
              <w:rPr>
                <w:rFonts w:hint="eastAsia" w:ascii="方正仿宋_GBK" w:hAnsi="宋体" w:eastAsia="方正仿宋_GBK" w:cs="宋体"/>
                <w:color w:val="000000"/>
                <w:kern w:val="0"/>
                <w:sz w:val="28"/>
                <w:szCs w:val="28"/>
              </w:rPr>
            </w:pPr>
          </w:p>
        </w:tc>
        <w:tc>
          <w:tcPr>
            <w:tcW w:w="1677" w:type="dxa"/>
            <w:gridSpan w:val="2"/>
            <w:tcBorders>
              <w:top w:val="nil"/>
              <w:left w:val="nil"/>
              <w:bottom w:val="single" w:color="auto" w:sz="4" w:space="0"/>
              <w:right w:val="single" w:color="auto" w:sz="4" w:space="0"/>
            </w:tcBorders>
            <w:vAlign w:val="center"/>
          </w:tcPr>
          <w:p>
            <w:pPr>
              <w:widowControl/>
              <w:adjustRightInd w:val="0"/>
              <w:spacing w:line="40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部门</w:t>
            </w:r>
          </w:p>
          <w:p>
            <w:pPr>
              <w:widowControl/>
              <w:adjustRightInd w:val="0"/>
              <w:spacing w:line="40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联系人</w:t>
            </w:r>
          </w:p>
        </w:tc>
        <w:tc>
          <w:tcPr>
            <w:tcW w:w="2082" w:type="dxa"/>
            <w:gridSpan w:val="2"/>
            <w:tcBorders>
              <w:top w:val="nil"/>
              <w:left w:val="nil"/>
              <w:bottom w:val="single" w:color="auto" w:sz="4" w:space="0"/>
              <w:right w:val="single" w:color="auto" w:sz="4" w:space="0"/>
            </w:tcBorders>
            <w:vAlign w:val="center"/>
          </w:tcPr>
          <w:p>
            <w:pPr>
              <w:widowControl/>
              <w:adjustRightInd w:val="0"/>
              <w:spacing w:line="40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尹荣建</w:t>
            </w:r>
          </w:p>
        </w:tc>
        <w:tc>
          <w:tcPr>
            <w:tcW w:w="895" w:type="dxa"/>
            <w:tcBorders>
              <w:top w:val="nil"/>
              <w:left w:val="nil"/>
              <w:bottom w:val="single" w:color="auto" w:sz="4" w:space="0"/>
              <w:right w:val="single" w:color="auto" w:sz="4" w:space="0"/>
            </w:tcBorders>
            <w:vAlign w:val="center"/>
          </w:tcPr>
          <w:p>
            <w:pPr>
              <w:widowControl/>
              <w:adjustRightInd w:val="0"/>
              <w:spacing w:line="40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联系电话</w:t>
            </w:r>
          </w:p>
        </w:tc>
        <w:tc>
          <w:tcPr>
            <w:tcW w:w="1949" w:type="dxa"/>
            <w:gridSpan w:val="2"/>
            <w:tcBorders>
              <w:top w:val="single" w:color="auto" w:sz="4" w:space="0"/>
              <w:left w:val="nil"/>
              <w:bottom w:val="single" w:color="auto" w:sz="4" w:space="0"/>
              <w:right w:val="single" w:color="000000" w:sz="4" w:space="0"/>
            </w:tcBorders>
            <w:vAlign w:val="center"/>
          </w:tcPr>
          <w:p>
            <w:pPr>
              <w:widowControl/>
              <w:adjustRightInd w:val="0"/>
              <w:spacing w:line="40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13709451817</w:t>
            </w:r>
          </w:p>
        </w:tc>
      </w:tr>
      <w:tr>
        <w:tblPrEx>
          <w:tblCellMar>
            <w:top w:w="0" w:type="dxa"/>
            <w:left w:w="108" w:type="dxa"/>
            <w:bottom w:w="0" w:type="dxa"/>
            <w:right w:w="108" w:type="dxa"/>
          </w:tblCellMar>
        </w:tblPrEx>
        <w:trPr>
          <w:trHeight w:val="1076" w:hRule="atLeast"/>
          <w:jc w:val="center"/>
        </w:trPr>
        <w:tc>
          <w:tcPr>
            <w:tcW w:w="804" w:type="dxa"/>
            <w:vMerge w:val="restart"/>
            <w:tcBorders>
              <w:top w:val="nil"/>
              <w:left w:val="single" w:color="auto" w:sz="4" w:space="0"/>
              <w:bottom w:val="single" w:color="auto" w:sz="4" w:space="0"/>
              <w:right w:val="single" w:color="auto" w:sz="4" w:space="0"/>
            </w:tcBorders>
            <w:vAlign w:val="center"/>
          </w:tcPr>
          <w:p>
            <w:pPr>
              <w:widowControl/>
              <w:adjustRightInd w:val="0"/>
              <w:spacing w:line="40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部门预算执行情况</w:t>
            </w:r>
          </w:p>
        </w:tc>
        <w:tc>
          <w:tcPr>
            <w:tcW w:w="826" w:type="dxa"/>
            <w:gridSpan w:val="2"/>
            <w:vMerge w:val="restart"/>
            <w:tcBorders>
              <w:top w:val="nil"/>
              <w:left w:val="nil"/>
              <w:right w:val="nil"/>
            </w:tcBorders>
            <w:vAlign w:val="center"/>
          </w:tcPr>
          <w:p>
            <w:pPr>
              <w:adjustRightInd w:val="0"/>
              <w:spacing w:line="40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预算</w:t>
            </w:r>
          </w:p>
          <w:p>
            <w:pPr>
              <w:adjustRightInd w:val="0"/>
              <w:spacing w:line="40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资金</w:t>
            </w:r>
          </w:p>
          <w:p>
            <w:pPr>
              <w:adjustRightInd w:val="0"/>
              <w:spacing w:line="40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（万元）</w:t>
            </w:r>
          </w:p>
        </w:tc>
        <w:tc>
          <w:tcPr>
            <w:tcW w:w="1226" w:type="dxa"/>
            <w:gridSpan w:val="2"/>
            <w:tcBorders>
              <w:top w:val="single" w:color="auto" w:sz="4" w:space="0"/>
              <w:left w:val="single" w:color="auto" w:sz="4" w:space="0"/>
              <w:bottom w:val="single" w:color="auto" w:sz="4" w:space="0"/>
              <w:right w:val="single" w:color="000000" w:sz="4" w:space="0"/>
            </w:tcBorders>
            <w:vAlign w:val="center"/>
          </w:tcPr>
          <w:p>
            <w:pPr>
              <w:widowControl/>
              <w:adjustRightInd w:val="0"/>
              <w:spacing w:line="40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年初</w:t>
            </w:r>
          </w:p>
          <w:p>
            <w:pPr>
              <w:widowControl/>
              <w:adjustRightInd w:val="0"/>
              <w:spacing w:line="40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预算数</w:t>
            </w:r>
          </w:p>
        </w:tc>
        <w:tc>
          <w:tcPr>
            <w:tcW w:w="2298" w:type="dxa"/>
            <w:gridSpan w:val="3"/>
            <w:tcBorders>
              <w:top w:val="single" w:color="auto" w:sz="4" w:space="0"/>
              <w:left w:val="nil"/>
              <w:bottom w:val="single" w:color="auto" w:sz="4" w:space="0"/>
              <w:right w:val="single" w:color="auto" w:sz="4" w:space="0"/>
            </w:tcBorders>
            <w:vAlign w:val="center"/>
          </w:tcPr>
          <w:p>
            <w:pPr>
              <w:widowControl/>
              <w:adjustRightInd w:val="0"/>
              <w:spacing w:line="40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全年（调整）</w:t>
            </w:r>
          </w:p>
          <w:p>
            <w:pPr>
              <w:widowControl/>
              <w:adjustRightInd w:val="0"/>
              <w:spacing w:line="40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预算数</w:t>
            </w:r>
          </w:p>
        </w:tc>
        <w:tc>
          <w:tcPr>
            <w:tcW w:w="2082" w:type="dxa"/>
            <w:gridSpan w:val="2"/>
            <w:tcBorders>
              <w:top w:val="single" w:color="auto" w:sz="4" w:space="0"/>
              <w:left w:val="nil"/>
              <w:bottom w:val="single" w:color="auto" w:sz="4" w:space="0"/>
              <w:right w:val="single" w:color="auto" w:sz="4" w:space="0"/>
            </w:tcBorders>
            <w:vAlign w:val="center"/>
          </w:tcPr>
          <w:p>
            <w:pPr>
              <w:widowControl/>
              <w:adjustRightInd w:val="0"/>
              <w:spacing w:line="40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全年执行数</w:t>
            </w:r>
          </w:p>
        </w:tc>
        <w:tc>
          <w:tcPr>
            <w:tcW w:w="895" w:type="dxa"/>
            <w:tcBorders>
              <w:top w:val="nil"/>
              <w:left w:val="nil"/>
              <w:bottom w:val="single" w:color="auto" w:sz="4" w:space="0"/>
              <w:right w:val="single" w:color="auto" w:sz="4" w:space="0"/>
            </w:tcBorders>
            <w:vAlign w:val="center"/>
          </w:tcPr>
          <w:p>
            <w:pPr>
              <w:widowControl/>
              <w:adjustRightInd w:val="0"/>
              <w:spacing w:line="40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执行率</w:t>
            </w:r>
          </w:p>
          <w:p>
            <w:pPr>
              <w:widowControl/>
              <w:adjustRightInd w:val="0"/>
              <w:spacing w:line="40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w:t>
            </w:r>
          </w:p>
        </w:tc>
        <w:tc>
          <w:tcPr>
            <w:tcW w:w="869" w:type="dxa"/>
            <w:tcBorders>
              <w:top w:val="nil"/>
              <w:left w:val="nil"/>
              <w:bottom w:val="single" w:color="auto" w:sz="4" w:space="0"/>
              <w:right w:val="single" w:color="auto" w:sz="4" w:space="0"/>
            </w:tcBorders>
            <w:vAlign w:val="center"/>
          </w:tcPr>
          <w:p>
            <w:pPr>
              <w:widowControl/>
              <w:adjustRightInd w:val="0"/>
              <w:spacing w:line="40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执行率</w:t>
            </w:r>
          </w:p>
          <w:p>
            <w:pPr>
              <w:widowControl/>
              <w:adjustRightInd w:val="0"/>
              <w:spacing w:line="40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权重</w:t>
            </w:r>
          </w:p>
        </w:tc>
        <w:tc>
          <w:tcPr>
            <w:tcW w:w="1080" w:type="dxa"/>
            <w:tcBorders>
              <w:top w:val="nil"/>
              <w:left w:val="nil"/>
              <w:bottom w:val="single" w:color="auto" w:sz="4" w:space="0"/>
              <w:right w:val="single" w:color="auto" w:sz="4" w:space="0"/>
            </w:tcBorders>
            <w:vAlign w:val="center"/>
          </w:tcPr>
          <w:p>
            <w:pPr>
              <w:widowControl/>
              <w:adjustRightInd w:val="0"/>
              <w:spacing w:line="40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执行率</w:t>
            </w:r>
          </w:p>
          <w:p>
            <w:pPr>
              <w:widowControl/>
              <w:adjustRightInd w:val="0"/>
              <w:spacing w:line="40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得分</w:t>
            </w:r>
          </w:p>
          <w:p>
            <w:pPr>
              <w:widowControl/>
              <w:adjustRightInd w:val="0"/>
              <w:spacing w:line="40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（分）</w:t>
            </w:r>
          </w:p>
        </w:tc>
      </w:tr>
      <w:tr>
        <w:tblPrEx>
          <w:tblCellMar>
            <w:top w:w="0" w:type="dxa"/>
            <w:left w:w="108" w:type="dxa"/>
            <w:bottom w:w="0" w:type="dxa"/>
            <w:right w:w="108" w:type="dxa"/>
          </w:tblCellMar>
        </w:tblPrEx>
        <w:trPr>
          <w:trHeight w:val="825" w:hRule="atLeast"/>
          <w:jc w:val="center"/>
        </w:trPr>
        <w:tc>
          <w:tcPr>
            <w:tcW w:w="804" w:type="dxa"/>
            <w:vMerge w:val="continue"/>
            <w:tcBorders>
              <w:top w:val="nil"/>
              <w:left w:val="single" w:color="auto" w:sz="4" w:space="0"/>
              <w:bottom w:val="single" w:color="auto" w:sz="4" w:space="0"/>
              <w:right w:val="single" w:color="auto" w:sz="4" w:space="0"/>
            </w:tcBorders>
            <w:vAlign w:val="center"/>
          </w:tcPr>
          <w:p>
            <w:pPr>
              <w:widowControl/>
              <w:adjustRightInd w:val="0"/>
              <w:spacing w:line="400" w:lineRule="exact"/>
              <w:jc w:val="center"/>
              <w:rPr>
                <w:rFonts w:hint="eastAsia" w:ascii="方正仿宋_GBK" w:hAnsi="宋体" w:eastAsia="方正仿宋_GBK" w:cs="宋体"/>
                <w:color w:val="000000"/>
                <w:kern w:val="0"/>
                <w:sz w:val="28"/>
                <w:szCs w:val="28"/>
              </w:rPr>
            </w:pPr>
          </w:p>
        </w:tc>
        <w:tc>
          <w:tcPr>
            <w:tcW w:w="826" w:type="dxa"/>
            <w:gridSpan w:val="2"/>
            <w:vMerge w:val="continue"/>
            <w:tcBorders>
              <w:left w:val="nil"/>
              <w:bottom w:val="single" w:color="auto" w:sz="4" w:space="0"/>
              <w:right w:val="nil"/>
            </w:tcBorders>
            <w:vAlign w:val="center"/>
          </w:tcPr>
          <w:p>
            <w:pPr>
              <w:widowControl/>
              <w:adjustRightInd w:val="0"/>
              <w:spacing w:line="400" w:lineRule="exact"/>
              <w:jc w:val="center"/>
              <w:rPr>
                <w:rFonts w:hint="eastAsia" w:ascii="方正仿宋_GBK" w:hAnsi="宋体" w:eastAsia="方正仿宋_GBK" w:cs="宋体"/>
                <w:color w:val="000000"/>
                <w:kern w:val="0"/>
                <w:sz w:val="28"/>
                <w:szCs w:val="28"/>
              </w:rPr>
            </w:pPr>
          </w:p>
        </w:tc>
        <w:tc>
          <w:tcPr>
            <w:tcW w:w="1226" w:type="dxa"/>
            <w:gridSpan w:val="2"/>
            <w:tcBorders>
              <w:top w:val="single" w:color="auto" w:sz="4" w:space="0"/>
              <w:left w:val="single" w:color="auto" w:sz="4" w:space="0"/>
              <w:bottom w:val="single" w:color="auto" w:sz="4" w:space="0"/>
              <w:right w:val="single" w:color="000000" w:sz="4" w:space="0"/>
            </w:tcBorders>
            <w:vAlign w:val="center"/>
          </w:tcPr>
          <w:p>
            <w:pPr>
              <w:widowControl/>
              <w:adjustRightInd w:val="0"/>
              <w:spacing w:line="40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1501.75</w:t>
            </w:r>
          </w:p>
        </w:tc>
        <w:tc>
          <w:tcPr>
            <w:tcW w:w="2298" w:type="dxa"/>
            <w:gridSpan w:val="3"/>
            <w:tcBorders>
              <w:top w:val="single" w:color="auto" w:sz="4" w:space="0"/>
              <w:left w:val="nil"/>
              <w:bottom w:val="single" w:color="auto" w:sz="4" w:space="0"/>
              <w:right w:val="single" w:color="auto" w:sz="4" w:space="0"/>
            </w:tcBorders>
            <w:vAlign w:val="center"/>
          </w:tcPr>
          <w:p>
            <w:pPr>
              <w:widowControl/>
              <w:adjustRightInd w:val="0"/>
              <w:spacing w:line="40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2697.48</w:t>
            </w:r>
          </w:p>
        </w:tc>
        <w:tc>
          <w:tcPr>
            <w:tcW w:w="2082" w:type="dxa"/>
            <w:gridSpan w:val="2"/>
            <w:tcBorders>
              <w:top w:val="single" w:color="auto" w:sz="4" w:space="0"/>
              <w:left w:val="nil"/>
              <w:bottom w:val="single" w:color="auto" w:sz="4" w:space="0"/>
              <w:right w:val="single" w:color="auto" w:sz="4" w:space="0"/>
            </w:tcBorders>
            <w:vAlign w:val="center"/>
          </w:tcPr>
          <w:p>
            <w:pPr>
              <w:widowControl/>
              <w:adjustRightInd w:val="0"/>
              <w:spacing w:line="40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2697.48</w:t>
            </w:r>
          </w:p>
        </w:tc>
        <w:tc>
          <w:tcPr>
            <w:tcW w:w="895" w:type="dxa"/>
            <w:tcBorders>
              <w:top w:val="nil"/>
              <w:left w:val="nil"/>
              <w:bottom w:val="single" w:color="auto" w:sz="4" w:space="0"/>
              <w:right w:val="single" w:color="auto" w:sz="4" w:space="0"/>
            </w:tcBorders>
            <w:vAlign w:val="center"/>
          </w:tcPr>
          <w:p>
            <w:pPr>
              <w:widowControl/>
              <w:adjustRightInd w:val="0"/>
              <w:spacing w:line="40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100%</w:t>
            </w:r>
          </w:p>
        </w:tc>
        <w:tc>
          <w:tcPr>
            <w:tcW w:w="869" w:type="dxa"/>
            <w:tcBorders>
              <w:top w:val="nil"/>
              <w:left w:val="nil"/>
              <w:bottom w:val="single" w:color="auto" w:sz="4" w:space="0"/>
              <w:right w:val="single" w:color="auto" w:sz="4" w:space="0"/>
            </w:tcBorders>
            <w:vAlign w:val="center"/>
          </w:tcPr>
          <w:p>
            <w:pPr>
              <w:widowControl/>
              <w:adjustRightInd w:val="0"/>
              <w:spacing w:line="40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100%</w:t>
            </w:r>
          </w:p>
        </w:tc>
        <w:tc>
          <w:tcPr>
            <w:tcW w:w="1080" w:type="dxa"/>
            <w:tcBorders>
              <w:top w:val="nil"/>
              <w:left w:val="nil"/>
              <w:bottom w:val="single" w:color="auto" w:sz="4" w:space="0"/>
              <w:right w:val="single" w:color="auto" w:sz="4" w:space="0"/>
            </w:tcBorders>
            <w:vAlign w:val="center"/>
          </w:tcPr>
          <w:p>
            <w:pPr>
              <w:widowControl/>
              <w:adjustRightInd w:val="0"/>
              <w:spacing w:line="40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100</w:t>
            </w:r>
          </w:p>
        </w:tc>
      </w:tr>
      <w:tr>
        <w:tblPrEx>
          <w:tblCellMar>
            <w:top w:w="0" w:type="dxa"/>
            <w:left w:w="108" w:type="dxa"/>
            <w:bottom w:w="0" w:type="dxa"/>
            <w:right w:w="108" w:type="dxa"/>
          </w:tblCellMar>
        </w:tblPrEx>
        <w:trPr>
          <w:trHeight w:val="624" w:hRule="atLeast"/>
          <w:jc w:val="center"/>
        </w:trPr>
        <w:tc>
          <w:tcPr>
            <w:tcW w:w="804" w:type="dxa"/>
            <w:vMerge w:val="restart"/>
            <w:tcBorders>
              <w:top w:val="nil"/>
              <w:left w:val="single" w:color="auto" w:sz="4" w:space="0"/>
              <w:bottom w:val="single" w:color="auto" w:sz="4" w:space="0"/>
              <w:right w:val="single" w:color="auto" w:sz="4" w:space="0"/>
            </w:tcBorders>
            <w:vAlign w:val="center"/>
          </w:tcPr>
          <w:p>
            <w:pPr>
              <w:widowControl/>
              <w:adjustRightInd w:val="0"/>
              <w:spacing w:line="40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当年绩效目标</w:t>
            </w:r>
          </w:p>
        </w:tc>
        <w:tc>
          <w:tcPr>
            <w:tcW w:w="2052" w:type="dxa"/>
            <w:gridSpan w:val="4"/>
            <w:tcBorders>
              <w:top w:val="single" w:color="auto" w:sz="4" w:space="0"/>
              <w:left w:val="nil"/>
              <w:bottom w:val="single" w:color="auto" w:sz="4" w:space="0"/>
              <w:right w:val="single" w:color="000000" w:sz="4" w:space="0"/>
            </w:tcBorders>
            <w:vAlign w:val="center"/>
          </w:tcPr>
          <w:p>
            <w:pPr>
              <w:widowControl/>
              <w:adjustRightInd w:val="0"/>
              <w:spacing w:line="40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年初绩效目标</w:t>
            </w:r>
          </w:p>
        </w:tc>
        <w:tc>
          <w:tcPr>
            <w:tcW w:w="4380" w:type="dxa"/>
            <w:gridSpan w:val="5"/>
            <w:tcBorders>
              <w:top w:val="single" w:color="auto" w:sz="4" w:space="0"/>
              <w:left w:val="nil"/>
              <w:bottom w:val="single" w:color="auto" w:sz="4" w:space="0"/>
              <w:right w:val="single" w:color="000000" w:sz="4" w:space="0"/>
            </w:tcBorders>
            <w:vAlign w:val="center"/>
          </w:tcPr>
          <w:p>
            <w:pPr>
              <w:widowControl/>
              <w:adjustRightInd w:val="0"/>
              <w:spacing w:line="40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全年（调整）绩效目标</w:t>
            </w:r>
          </w:p>
        </w:tc>
        <w:tc>
          <w:tcPr>
            <w:tcW w:w="2844" w:type="dxa"/>
            <w:gridSpan w:val="3"/>
            <w:tcBorders>
              <w:top w:val="single" w:color="auto" w:sz="4" w:space="0"/>
              <w:left w:val="nil"/>
              <w:bottom w:val="single" w:color="auto" w:sz="4" w:space="0"/>
              <w:right w:val="single" w:color="000000" w:sz="4" w:space="0"/>
            </w:tcBorders>
            <w:vAlign w:val="center"/>
          </w:tcPr>
          <w:p>
            <w:pPr>
              <w:widowControl/>
              <w:adjustRightInd w:val="0"/>
              <w:spacing w:line="40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全年目标实际完成情况</w:t>
            </w:r>
          </w:p>
        </w:tc>
      </w:tr>
      <w:tr>
        <w:tblPrEx>
          <w:tblCellMar>
            <w:top w:w="0" w:type="dxa"/>
            <w:left w:w="108" w:type="dxa"/>
            <w:bottom w:w="0" w:type="dxa"/>
            <w:right w:w="108" w:type="dxa"/>
          </w:tblCellMar>
        </w:tblPrEx>
        <w:trPr>
          <w:trHeight w:val="520" w:hRule="atLeast"/>
          <w:jc w:val="center"/>
        </w:trPr>
        <w:tc>
          <w:tcPr>
            <w:tcW w:w="804" w:type="dxa"/>
            <w:vMerge w:val="continue"/>
            <w:tcBorders>
              <w:top w:val="nil"/>
              <w:left w:val="single" w:color="auto" w:sz="4" w:space="0"/>
              <w:bottom w:val="single" w:color="auto" w:sz="4" w:space="0"/>
              <w:right w:val="single" w:color="auto" w:sz="4" w:space="0"/>
            </w:tcBorders>
            <w:vAlign w:val="center"/>
          </w:tcPr>
          <w:p>
            <w:pPr>
              <w:widowControl/>
              <w:adjustRightInd w:val="0"/>
              <w:spacing w:line="400" w:lineRule="exact"/>
              <w:jc w:val="center"/>
              <w:rPr>
                <w:rFonts w:hint="eastAsia" w:ascii="方正仿宋_GBK" w:hAnsi="宋体" w:eastAsia="方正仿宋_GBK" w:cs="宋体"/>
                <w:color w:val="000000"/>
                <w:kern w:val="0"/>
                <w:sz w:val="28"/>
                <w:szCs w:val="28"/>
              </w:rPr>
            </w:pPr>
          </w:p>
        </w:tc>
        <w:tc>
          <w:tcPr>
            <w:tcW w:w="2052" w:type="dxa"/>
            <w:gridSpan w:val="4"/>
            <w:tcBorders>
              <w:top w:val="single" w:color="auto" w:sz="4" w:space="0"/>
              <w:left w:val="nil"/>
              <w:bottom w:val="single" w:color="auto" w:sz="4" w:space="0"/>
              <w:right w:val="single" w:color="000000" w:sz="4" w:space="0"/>
            </w:tcBorders>
            <w:vAlign w:val="center"/>
          </w:tcPr>
          <w:p>
            <w:pPr>
              <w:widowControl/>
              <w:adjustRightInd w:val="0"/>
              <w:spacing w:line="40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1501.75</w:t>
            </w:r>
          </w:p>
        </w:tc>
        <w:tc>
          <w:tcPr>
            <w:tcW w:w="4380" w:type="dxa"/>
            <w:gridSpan w:val="5"/>
            <w:tcBorders>
              <w:top w:val="single" w:color="auto" w:sz="4" w:space="0"/>
              <w:left w:val="nil"/>
              <w:bottom w:val="single" w:color="auto" w:sz="4" w:space="0"/>
              <w:right w:val="single" w:color="000000" w:sz="4" w:space="0"/>
            </w:tcBorders>
            <w:vAlign w:val="center"/>
          </w:tcPr>
          <w:p>
            <w:pPr>
              <w:widowControl/>
              <w:adjustRightInd w:val="0"/>
              <w:spacing w:line="40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2697.48</w:t>
            </w:r>
          </w:p>
        </w:tc>
        <w:tc>
          <w:tcPr>
            <w:tcW w:w="2844" w:type="dxa"/>
            <w:gridSpan w:val="3"/>
            <w:tcBorders>
              <w:top w:val="single" w:color="auto" w:sz="4" w:space="0"/>
              <w:left w:val="nil"/>
              <w:bottom w:val="single" w:color="auto" w:sz="4" w:space="0"/>
              <w:right w:val="single" w:color="000000" w:sz="4" w:space="0"/>
            </w:tcBorders>
            <w:vAlign w:val="center"/>
          </w:tcPr>
          <w:p>
            <w:pPr>
              <w:widowControl/>
              <w:adjustRightInd w:val="0"/>
              <w:spacing w:line="40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2697.48</w:t>
            </w:r>
          </w:p>
        </w:tc>
      </w:tr>
      <w:tr>
        <w:tblPrEx>
          <w:tblCellMar>
            <w:top w:w="0" w:type="dxa"/>
            <w:left w:w="108" w:type="dxa"/>
            <w:bottom w:w="0" w:type="dxa"/>
            <w:right w:w="108" w:type="dxa"/>
          </w:tblCellMar>
        </w:tblPrEx>
        <w:trPr>
          <w:trHeight w:val="1224" w:hRule="atLeast"/>
          <w:jc w:val="center"/>
        </w:trPr>
        <w:tc>
          <w:tcPr>
            <w:tcW w:w="804" w:type="dxa"/>
            <w:vMerge w:val="restart"/>
            <w:tcBorders>
              <w:top w:val="nil"/>
              <w:left w:val="single" w:color="auto" w:sz="4" w:space="0"/>
              <w:bottom w:val="single" w:color="auto" w:sz="4" w:space="0"/>
              <w:right w:val="single" w:color="auto" w:sz="4" w:space="0"/>
            </w:tcBorders>
            <w:textDirection w:val="tbRlV"/>
            <w:vAlign w:val="center"/>
          </w:tcPr>
          <w:p>
            <w:pPr>
              <w:widowControl/>
              <w:adjustRightInd w:val="0"/>
              <w:spacing w:line="40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绩效指标</w:t>
            </w:r>
          </w:p>
        </w:tc>
        <w:tc>
          <w:tcPr>
            <w:tcW w:w="660" w:type="dxa"/>
            <w:tcBorders>
              <w:top w:val="nil"/>
              <w:left w:val="nil"/>
              <w:bottom w:val="single" w:color="auto" w:sz="4" w:space="0"/>
              <w:right w:val="nil"/>
            </w:tcBorders>
            <w:vAlign w:val="center"/>
          </w:tcPr>
          <w:p>
            <w:pPr>
              <w:widowControl/>
              <w:adjustRightInd w:val="0"/>
              <w:spacing w:line="40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指标</w:t>
            </w:r>
          </w:p>
          <w:p>
            <w:pPr>
              <w:widowControl/>
              <w:adjustRightInd w:val="0"/>
              <w:spacing w:line="40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名称</w:t>
            </w:r>
          </w:p>
        </w:tc>
        <w:tc>
          <w:tcPr>
            <w:tcW w:w="432" w:type="dxa"/>
            <w:gridSpan w:val="2"/>
            <w:tcBorders>
              <w:top w:val="nil"/>
              <w:left w:val="single" w:color="auto" w:sz="4" w:space="0"/>
              <w:bottom w:val="single" w:color="auto" w:sz="4" w:space="0"/>
              <w:right w:val="single" w:color="auto" w:sz="4" w:space="0"/>
            </w:tcBorders>
            <w:vAlign w:val="center"/>
          </w:tcPr>
          <w:p>
            <w:pPr>
              <w:widowControl/>
              <w:adjustRightInd w:val="0"/>
              <w:spacing w:line="40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计量</w:t>
            </w:r>
          </w:p>
          <w:p>
            <w:pPr>
              <w:widowControl/>
              <w:adjustRightInd w:val="0"/>
              <w:spacing w:line="40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单位</w:t>
            </w:r>
          </w:p>
        </w:tc>
        <w:tc>
          <w:tcPr>
            <w:tcW w:w="960" w:type="dxa"/>
            <w:tcBorders>
              <w:top w:val="nil"/>
              <w:left w:val="nil"/>
              <w:bottom w:val="single" w:color="auto" w:sz="4" w:space="0"/>
              <w:right w:val="single" w:color="auto" w:sz="4" w:space="0"/>
            </w:tcBorders>
            <w:vAlign w:val="center"/>
          </w:tcPr>
          <w:p>
            <w:pPr>
              <w:widowControl/>
              <w:adjustRightInd w:val="0"/>
              <w:spacing w:line="40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指标</w:t>
            </w:r>
          </w:p>
          <w:p>
            <w:pPr>
              <w:widowControl/>
              <w:adjustRightInd w:val="0"/>
              <w:spacing w:line="40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性质</w:t>
            </w:r>
          </w:p>
        </w:tc>
        <w:tc>
          <w:tcPr>
            <w:tcW w:w="1092" w:type="dxa"/>
            <w:gridSpan w:val="2"/>
            <w:tcBorders>
              <w:top w:val="nil"/>
              <w:left w:val="nil"/>
              <w:bottom w:val="single" w:color="auto" w:sz="4" w:space="0"/>
              <w:right w:val="single" w:color="auto" w:sz="4" w:space="0"/>
            </w:tcBorders>
            <w:vAlign w:val="center"/>
          </w:tcPr>
          <w:p>
            <w:pPr>
              <w:widowControl/>
              <w:adjustRightInd w:val="0"/>
              <w:spacing w:line="40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年初</w:t>
            </w:r>
          </w:p>
          <w:p>
            <w:pPr>
              <w:widowControl/>
              <w:adjustRightInd w:val="0"/>
              <w:spacing w:line="40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指标</w:t>
            </w:r>
          </w:p>
          <w:p>
            <w:pPr>
              <w:widowControl/>
              <w:adjustRightInd w:val="0"/>
              <w:spacing w:line="40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值</w:t>
            </w:r>
          </w:p>
        </w:tc>
        <w:tc>
          <w:tcPr>
            <w:tcW w:w="1206" w:type="dxa"/>
            <w:tcBorders>
              <w:top w:val="nil"/>
              <w:left w:val="nil"/>
              <w:bottom w:val="single" w:color="auto" w:sz="4" w:space="0"/>
              <w:right w:val="single" w:color="auto" w:sz="4" w:space="0"/>
            </w:tcBorders>
            <w:vAlign w:val="center"/>
          </w:tcPr>
          <w:p>
            <w:pPr>
              <w:widowControl/>
              <w:adjustRightInd w:val="0"/>
              <w:spacing w:line="40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调整</w:t>
            </w:r>
          </w:p>
          <w:p>
            <w:pPr>
              <w:widowControl/>
              <w:adjustRightInd w:val="0"/>
              <w:spacing w:line="40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指标</w:t>
            </w:r>
          </w:p>
          <w:p>
            <w:pPr>
              <w:widowControl/>
              <w:adjustRightInd w:val="0"/>
              <w:spacing w:line="40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值</w:t>
            </w:r>
          </w:p>
        </w:tc>
        <w:tc>
          <w:tcPr>
            <w:tcW w:w="1278" w:type="dxa"/>
            <w:tcBorders>
              <w:top w:val="nil"/>
              <w:left w:val="nil"/>
              <w:bottom w:val="single" w:color="auto" w:sz="4" w:space="0"/>
              <w:right w:val="single" w:color="auto" w:sz="4" w:space="0"/>
            </w:tcBorders>
            <w:vAlign w:val="center"/>
          </w:tcPr>
          <w:p>
            <w:pPr>
              <w:widowControl/>
              <w:adjustRightInd w:val="0"/>
              <w:spacing w:line="40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全年</w:t>
            </w:r>
          </w:p>
          <w:p>
            <w:pPr>
              <w:widowControl/>
              <w:adjustRightInd w:val="0"/>
              <w:spacing w:line="40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完成</w:t>
            </w:r>
          </w:p>
          <w:p>
            <w:pPr>
              <w:widowControl/>
              <w:adjustRightInd w:val="0"/>
              <w:spacing w:line="40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值</w:t>
            </w:r>
          </w:p>
        </w:tc>
        <w:tc>
          <w:tcPr>
            <w:tcW w:w="804" w:type="dxa"/>
            <w:tcBorders>
              <w:top w:val="nil"/>
              <w:left w:val="nil"/>
              <w:bottom w:val="single" w:color="auto" w:sz="4" w:space="0"/>
              <w:right w:val="single" w:color="auto" w:sz="4" w:space="0"/>
            </w:tcBorders>
            <w:vAlign w:val="center"/>
          </w:tcPr>
          <w:p>
            <w:pPr>
              <w:widowControl/>
              <w:adjustRightInd w:val="0"/>
              <w:spacing w:line="40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得分</w:t>
            </w:r>
          </w:p>
          <w:p>
            <w:pPr>
              <w:widowControl/>
              <w:adjustRightInd w:val="0"/>
              <w:spacing w:line="40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系数</w:t>
            </w:r>
          </w:p>
          <w:p>
            <w:pPr>
              <w:widowControl/>
              <w:adjustRightInd w:val="0"/>
              <w:spacing w:line="40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w:t>
            </w:r>
          </w:p>
        </w:tc>
        <w:tc>
          <w:tcPr>
            <w:tcW w:w="895" w:type="dxa"/>
            <w:tcBorders>
              <w:top w:val="nil"/>
              <w:left w:val="nil"/>
              <w:bottom w:val="single" w:color="auto" w:sz="4" w:space="0"/>
              <w:right w:val="single" w:color="auto" w:sz="4" w:space="0"/>
            </w:tcBorders>
            <w:vAlign w:val="center"/>
          </w:tcPr>
          <w:p>
            <w:pPr>
              <w:widowControl/>
              <w:adjustRightInd w:val="0"/>
              <w:spacing w:line="40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指标权重</w:t>
            </w:r>
          </w:p>
          <w:p>
            <w:pPr>
              <w:widowControl/>
              <w:adjustRightInd w:val="0"/>
              <w:spacing w:line="40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（分）</w:t>
            </w:r>
          </w:p>
        </w:tc>
        <w:tc>
          <w:tcPr>
            <w:tcW w:w="869" w:type="dxa"/>
            <w:tcBorders>
              <w:top w:val="nil"/>
              <w:left w:val="nil"/>
              <w:bottom w:val="single" w:color="auto" w:sz="4" w:space="0"/>
              <w:right w:val="single" w:color="auto" w:sz="4" w:space="0"/>
            </w:tcBorders>
            <w:vAlign w:val="center"/>
          </w:tcPr>
          <w:p>
            <w:pPr>
              <w:widowControl/>
              <w:adjustRightInd w:val="0"/>
              <w:spacing w:line="40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指标</w:t>
            </w:r>
          </w:p>
          <w:p>
            <w:pPr>
              <w:widowControl/>
              <w:adjustRightInd w:val="0"/>
              <w:spacing w:line="40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得分</w:t>
            </w:r>
          </w:p>
          <w:p>
            <w:pPr>
              <w:widowControl/>
              <w:adjustRightInd w:val="0"/>
              <w:spacing w:line="40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（分）</w:t>
            </w:r>
          </w:p>
        </w:tc>
        <w:tc>
          <w:tcPr>
            <w:tcW w:w="1080" w:type="dxa"/>
            <w:tcBorders>
              <w:top w:val="nil"/>
              <w:left w:val="nil"/>
              <w:bottom w:val="single" w:color="auto" w:sz="4" w:space="0"/>
              <w:right w:val="single" w:color="auto" w:sz="4" w:space="0"/>
            </w:tcBorders>
            <w:vAlign w:val="center"/>
          </w:tcPr>
          <w:p>
            <w:pPr>
              <w:widowControl/>
              <w:adjustRightInd w:val="0"/>
              <w:spacing w:line="40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是否核心</w:t>
            </w:r>
          </w:p>
          <w:p>
            <w:pPr>
              <w:widowControl/>
              <w:adjustRightInd w:val="0"/>
              <w:spacing w:line="40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指标</w:t>
            </w:r>
          </w:p>
        </w:tc>
      </w:tr>
      <w:tr>
        <w:tblPrEx>
          <w:tblCellMar>
            <w:top w:w="0" w:type="dxa"/>
            <w:left w:w="108" w:type="dxa"/>
            <w:bottom w:w="0" w:type="dxa"/>
            <w:right w:w="108" w:type="dxa"/>
          </w:tblCellMar>
        </w:tblPrEx>
        <w:trPr>
          <w:trHeight w:val="1512" w:hRule="atLeast"/>
          <w:jc w:val="center"/>
        </w:trPr>
        <w:tc>
          <w:tcPr>
            <w:tcW w:w="804" w:type="dxa"/>
            <w:vMerge w:val="continue"/>
            <w:tcBorders>
              <w:top w:val="nil"/>
              <w:left w:val="single" w:color="auto" w:sz="4" w:space="0"/>
              <w:bottom w:val="single" w:color="auto" w:sz="4" w:space="0"/>
              <w:right w:val="single" w:color="auto" w:sz="4" w:space="0"/>
            </w:tcBorders>
            <w:vAlign w:val="center"/>
          </w:tcPr>
          <w:p>
            <w:pPr>
              <w:widowControl/>
              <w:adjustRightInd w:val="0"/>
              <w:spacing w:line="400" w:lineRule="exact"/>
              <w:jc w:val="center"/>
              <w:rPr>
                <w:rFonts w:hint="eastAsia" w:ascii="方正仿宋_GBK" w:hAnsi="宋体" w:eastAsia="方正仿宋_GBK" w:cs="宋体"/>
                <w:color w:val="000000"/>
                <w:kern w:val="0"/>
                <w:sz w:val="28"/>
                <w:szCs w:val="28"/>
              </w:rPr>
            </w:pPr>
          </w:p>
        </w:tc>
        <w:tc>
          <w:tcPr>
            <w:tcW w:w="660" w:type="dxa"/>
            <w:tcBorders>
              <w:top w:val="nil"/>
              <w:left w:val="nil"/>
              <w:bottom w:val="single" w:color="auto" w:sz="4" w:space="0"/>
              <w:right w:val="nil"/>
            </w:tcBorders>
            <w:vAlign w:val="center"/>
          </w:tcPr>
          <w:p>
            <w:pPr>
              <w:adjustRightInd w:val="0"/>
              <w:spacing w:line="40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预算</w:t>
            </w:r>
          </w:p>
          <w:p>
            <w:pPr>
              <w:widowControl/>
              <w:adjustRightInd w:val="0"/>
              <w:spacing w:line="40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资金</w:t>
            </w:r>
          </w:p>
        </w:tc>
        <w:tc>
          <w:tcPr>
            <w:tcW w:w="432" w:type="dxa"/>
            <w:gridSpan w:val="2"/>
            <w:tcBorders>
              <w:top w:val="nil"/>
              <w:left w:val="single" w:color="auto" w:sz="4" w:space="0"/>
              <w:bottom w:val="single" w:color="auto" w:sz="4" w:space="0"/>
              <w:right w:val="nil"/>
            </w:tcBorders>
            <w:vAlign w:val="center"/>
          </w:tcPr>
          <w:p>
            <w:pPr>
              <w:widowControl/>
              <w:adjustRightInd w:val="0"/>
              <w:spacing w:line="40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万元</w:t>
            </w:r>
          </w:p>
        </w:tc>
        <w:tc>
          <w:tcPr>
            <w:tcW w:w="960" w:type="dxa"/>
            <w:tcBorders>
              <w:top w:val="nil"/>
              <w:left w:val="single" w:color="auto" w:sz="4" w:space="0"/>
              <w:bottom w:val="single" w:color="auto" w:sz="4" w:space="0"/>
              <w:right w:val="nil"/>
            </w:tcBorders>
            <w:vAlign w:val="center"/>
          </w:tcPr>
          <w:p>
            <w:pPr>
              <w:widowControl/>
              <w:adjustRightInd w:val="0"/>
              <w:spacing w:line="40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一般公共预算财政拨款</w:t>
            </w:r>
          </w:p>
        </w:tc>
        <w:tc>
          <w:tcPr>
            <w:tcW w:w="1092" w:type="dxa"/>
            <w:gridSpan w:val="2"/>
            <w:tcBorders>
              <w:top w:val="nil"/>
              <w:left w:val="single" w:color="auto" w:sz="4" w:space="0"/>
              <w:bottom w:val="single" w:color="auto" w:sz="4" w:space="0"/>
              <w:right w:val="nil"/>
            </w:tcBorders>
            <w:vAlign w:val="center"/>
          </w:tcPr>
          <w:p>
            <w:pPr>
              <w:widowControl/>
              <w:adjustRightInd w:val="0"/>
              <w:spacing w:line="400" w:lineRule="exact"/>
              <w:jc w:val="center"/>
              <w:rPr>
                <w:rFonts w:hint="eastAsia" w:ascii="方正仿宋_GBK" w:hAnsi="宋体" w:eastAsia="方正仿宋_GBK" w:cs="宋体"/>
                <w:color w:val="000000"/>
                <w:spacing w:val="-20"/>
                <w:kern w:val="0"/>
                <w:sz w:val="28"/>
                <w:szCs w:val="28"/>
              </w:rPr>
            </w:pPr>
            <w:r>
              <w:rPr>
                <w:rFonts w:hint="eastAsia" w:ascii="方正仿宋_GBK" w:hAnsi="宋体" w:eastAsia="方正仿宋_GBK" w:cs="宋体"/>
                <w:color w:val="000000"/>
                <w:spacing w:val="-20"/>
                <w:kern w:val="0"/>
                <w:sz w:val="28"/>
                <w:szCs w:val="28"/>
              </w:rPr>
              <w:t>1501.75</w:t>
            </w:r>
          </w:p>
        </w:tc>
        <w:tc>
          <w:tcPr>
            <w:tcW w:w="1206" w:type="dxa"/>
            <w:tcBorders>
              <w:top w:val="nil"/>
              <w:left w:val="single" w:color="auto" w:sz="4" w:space="0"/>
              <w:bottom w:val="single" w:color="auto" w:sz="4" w:space="0"/>
              <w:right w:val="nil"/>
            </w:tcBorders>
            <w:vAlign w:val="center"/>
          </w:tcPr>
          <w:p>
            <w:pPr>
              <w:widowControl/>
              <w:adjustRightInd w:val="0"/>
              <w:spacing w:line="40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2697.48</w:t>
            </w:r>
          </w:p>
        </w:tc>
        <w:tc>
          <w:tcPr>
            <w:tcW w:w="1278" w:type="dxa"/>
            <w:tcBorders>
              <w:top w:val="nil"/>
              <w:left w:val="single" w:color="auto" w:sz="4" w:space="0"/>
              <w:bottom w:val="single" w:color="auto" w:sz="4" w:space="0"/>
              <w:right w:val="nil"/>
            </w:tcBorders>
            <w:vAlign w:val="center"/>
          </w:tcPr>
          <w:p>
            <w:pPr>
              <w:widowControl/>
              <w:adjustRightInd w:val="0"/>
              <w:spacing w:line="40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2697.48</w:t>
            </w:r>
          </w:p>
        </w:tc>
        <w:tc>
          <w:tcPr>
            <w:tcW w:w="804" w:type="dxa"/>
            <w:tcBorders>
              <w:top w:val="nil"/>
              <w:left w:val="single" w:color="auto" w:sz="4" w:space="0"/>
              <w:bottom w:val="single" w:color="auto" w:sz="4" w:space="0"/>
              <w:right w:val="nil"/>
            </w:tcBorders>
            <w:vAlign w:val="center"/>
          </w:tcPr>
          <w:p>
            <w:pPr>
              <w:widowControl/>
              <w:adjustRightInd w:val="0"/>
              <w:spacing w:line="400" w:lineRule="exact"/>
              <w:jc w:val="center"/>
              <w:rPr>
                <w:rFonts w:hint="eastAsia" w:ascii="方正仿宋_GBK" w:hAnsi="宋体" w:eastAsia="方正仿宋_GBK" w:cs="宋体"/>
                <w:color w:val="000000"/>
                <w:spacing w:val="-20"/>
                <w:kern w:val="0"/>
                <w:sz w:val="28"/>
                <w:szCs w:val="28"/>
              </w:rPr>
            </w:pPr>
            <w:r>
              <w:rPr>
                <w:rFonts w:hint="eastAsia" w:ascii="方正仿宋_GBK" w:hAnsi="宋体" w:eastAsia="方正仿宋_GBK" w:cs="宋体"/>
                <w:color w:val="000000"/>
                <w:spacing w:val="-20"/>
                <w:kern w:val="0"/>
                <w:sz w:val="28"/>
                <w:szCs w:val="28"/>
              </w:rPr>
              <w:t>100%</w:t>
            </w:r>
          </w:p>
        </w:tc>
        <w:tc>
          <w:tcPr>
            <w:tcW w:w="895" w:type="dxa"/>
            <w:tcBorders>
              <w:top w:val="nil"/>
              <w:left w:val="single" w:color="auto" w:sz="4" w:space="0"/>
              <w:bottom w:val="single" w:color="auto" w:sz="4" w:space="0"/>
              <w:right w:val="nil"/>
            </w:tcBorders>
            <w:vAlign w:val="center"/>
          </w:tcPr>
          <w:p>
            <w:pPr>
              <w:widowControl/>
              <w:adjustRightInd w:val="0"/>
              <w:spacing w:line="40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100</w:t>
            </w:r>
          </w:p>
        </w:tc>
        <w:tc>
          <w:tcPr>
            <w:tcW w:w="869" w:type="dxa"/>
            <w:tcBorders>
              <w:top w:val="nil"/>
              <w:left w:val="single" w:color="auto" w:sz="4" w:space="0"/>
              <w:bottom w:val="single" w:color="auto" w:sz="4" w:space="0"/>
              <w:right w:val="nil"/>
            </w:tcBorders>
            <w:vAlign w:val="center"/>
          </w:tcPr>
          <w:p>
            <w:pPr>
              <w:widowControl/>
              <w:adjustRightInd w:val="0"/>
              <w:spacing w:line="40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100</w:t>
            </w:r>
          </w:p>
        </w:tc>
        <w:tc>
          <w:tcPr>
            <w:tcW w:w="1080" w:type="dxa"/>
            <w:tcBorders>
              <w:top w:val="nil"/>
              <w:left w:val="single" w:color="auto" w:sz="4" w:space="0"/>
              <w:bottom w:val="single" w:color="auto" w:sz="4" w:space="0"/>
              <w:right w:val="single" w:color="auto" w:sz="4" w:space="0"/>
            </w:tcBorders>
            <w:vAlign w:val="center"/>
          </w:tcPr>
          <w:p>
            <w:pPr>
              <w:widowControl/>
              <w:adjustRightInd w:val="0"/>
              <w:spacing w:line="40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是</w:t>
            </w:r>
          </w:p>
        </w:tc>
      </w:tr>
      <w:tr>
        <w:tblPrEx>
          <w:tblCellMar>
            <w:top w:w="0" w:type="dxa"/>
            <w:left w:w="108" w:type="dxa"/>
            <w:bottom w:w="0" w:type="dxa"/>
            <w:right w:w="108" w:type="dxa"/>
          </w:tblCellMar>
        </w:tblPrEx>
        <w:trPr>
          <w:trHeight w:val="1633" w:hRule="atLeast"/>
          <w:jc w:val="center"/>
        </w:trPr>
        <w:tc>
          <w:tcPr>
            <w:tcW w:w="804" w:type="dxa"/>
            <w:tcBorders>
              <w:top w:val="nil"/>
              <w:left w:val="single" w:color="auto" w:sz="4" w:space="0"/>
              <w:bottom w:val="single" w:color="auto" w:sz="4" w:space="0"/>
              <w:right w:val="single" w:color="auto" w:sz="4" w:space="0"/>
            </w:tcBorders>
            <w:vAlign w:val="center"/>
          </w:tcPr>
          <w:p>
            <w:pPr>
              <w:widowControl/>
              <w:adjustRightInd w:val="0"/>
              <w:spacing w:line="400" w:lineRule="exact"/>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说明</w:t>
            </w:r>
          </w:p>
        </w:tc>
        <w:tc>
          <w:tcPr>
            <w:tcW w:w="9276" w:type="dxa"/>
            <w:gridSpan w:val="12"/>
            <w:tcBorders>
              <w:top w:val="single" w:color="auto" w:sz="4" w:space="0"/>
              <w:left w:val="nil"/>
              <w:bottom w:val="single" w:color="auto" w:sz="4" w:space="0"/>
              <w:right w:val="single" w:color="000000" w:sz="4" w:space="0"/>
            </w:tcBorders>
            <w:vAlign w:val="center"/>
          </w:tcPr>
          <w:p>
            <w:pPr>
              <w:widowControl/>
              <w:adjustRightInd w:val="0"/>
              <w:spacing w:line="400" w:lineRule="exact"/>
              <w:rPr>
                <w:rFonts w:hint="eastAsia" w:ascii="方正仿宋_GBK" w:hAnsi="宋体" w:eastAsia="方正仿宋_GBK" w:cs="宋体"/>
                <w:color w:val="000000"/>
                <w:kern w:val="0"/>
                <w:sz w:val="28"/>
                <w:szCs w:val="28"/>
              </w:rPr>
            </w:pPr>
          </w:p>
        </w:tc>
      </w:tr>
    </w:tbl>
    <w:p>
      <w:pPr>
        <w:pStyle w:val="4"/>
        <w:widowControl/>
        <w:adjustRightInd w:val="0"/>
        <w:spacing w:beforeAutospacing="0" w:afterAutospacing="0"/>
        <w:ind w:firstLine="640" w:firstLineChars="200"/>
        <w:rPr>
          <w:rStyle w:val="7"/>
          <w:rFonts w:hint="eastAsia" w:ascii="方正仿宋_GBK" w:hAnsi="宋体" w:eastAsia="方正仿宋_GBK" w:cs="宋体"/>
          <w:sz w:val="32"/>
          <w:szCs w:val="32"/>
        </w:rPr>
      </w:pPr>
      <w:r>
        <w:rPr>
          <w:rStyle w:val="7"/>
          <w:rFonts w:hint="eastAsia" w:ascii="方正仿宋_GBK" w:hAnsi="宋体" w:eastAsia="方正仿宋_GBK" w:cs="宋体"/>
          <w:b w:val="0"/>
          <w:sz w:val="32"/>
          <w:szCs w:val="32"/>
        </w:rPr>
        <w:t>（2）</w:t>
      </w:r>
      <w:r>
        <w:rPr>
          <w:rFonts w:hint="eastAsia" w:ascii="方正仿宋_GBK" w:hAnsi="宋体" w:eastAsia="方正仿宋_GBK" w:cs="宋体"/>
          <w:bCs/>
          <w:color w:val="000000"/>
          <w:sz w:val="32"/>
          <w:szCs w:val="32"/>
          <w:lang w:bidi="ar"/>
        </w:rPr>
        <w:t>项目资金绩效目标自评表</w:t>
      </w:r>
    </w:p>
    <w:tbl>
      <w:tblPr>
        <w:tblStyle w:val="5"/>
        <w:tblW w:w="10203" w:type="dxa"/>
        <w:jc w:val="center"/>
        <w:tblLayout w:type="fixed"/>
        <w:tblCellMar>
          <w:top w:w="0" w:type="dxa"/>
          <w:left w:w="108" w:type="dxa"/>
          <w:bottom w:w="0" w:type="dxa"/>
          <w:right w:w="108" w:type="dxa"/>
        </w:tblCellMar>
      </w:tblPr>
      <w:tblGrid>
        <w:gridCol w:w="931"/>
        <w:gridCol w:w="1616"/>
        <w:gridCol w:w="1068"/>
        <w:gridCol w:w="2112"/>
        <w:gridCol w:w="936"/>
        <w:gridCol w:w="1068"/>
        <w:gridCol w:w="1020"/>
        <w:gridCol w:w="1452"/>
      </w:tblGrid>
      <w:tr>
        <w:tblPrEx>
          <w:tblCellMar>
            <w:top w:w="0" w:type="dxa"/>
            <w:left w:w="108" w:type="dxa"/>
            <w:bottom w:w="0" w:type="dxa"/>
            <w:right w:w="108" w:type="dxa"/>
          </w:tblCellMar>
        </w:tblPrEx>
        <w:trPr>
          <w:trHeight w:val="636" w:hRule="atLeast"/>
          <w:jc w:val="center"/>
        </w:trPr>
        <w:tc>
          <w:tcPr>
            <w:tcW w:w="10203" w:type="dxa"/>
            <w:gridSpan w:val="8"/>
            <w:tcBorders>
              <w:top w:val="nil"/>
              <w:left w:val="nil"/>
              <w:bottom w:val="nil"/>
              <w:right w:val="nil"/>
            </w:tcBorders>
            <w:shd w:val="clear" w:color="auto" w:fill="auto"/>
            <w:vAlign w:val="center"/>
          </w:tcPr>
          <w:p>
            <w:pPr>
              <w:widowControl/>
              <w:adjustRightInd w:val="0"/>
              <w:jc w:val="center"/>
              <w:textAlignment w:val="center"/>
              <w:rPr>
                <w:rFonts w:hint="eastAsia" w:ascii="方正黑体_GBK" w:hAnsi="宋体" w:eastAsia="方正黑体_GBK" w:cs="宋体"/>
                <w:bCs/>
                <w:color w:val="000000"/>
                <w:sz w:val="32"/>
                <w:szCs w:val="32"/>
              </w:rPr>
            </w:pPr>
            <w:r>
              <w:rPr>
                <w:rFonts w:hint="eastAsia" w:ascii="方正黑体_GBK" w:hAnsi="宋体" w:eastAsia="方正黑体_GBK" w:cs="宋体"/>
                <w:bCs/>
                <w:color w:val="000000"/>
                <w:kern w:val="0"/>
                <w:sz w:val="32"/>
                <w:szCs w:val="32"/>
                <w:lang w:eastAsia="zh-CN" w:bidi="ar"/>
              </w:rPr>
              <w:t>脱贫攻坚</w:t>
            </w:r>
            <w:r>
              <w:rPr>
                <w:rFonts w:hint="eastAsia" w:ascii="方正黑体_GBK" w:hAnsi="宋体" w:eastAsia="方正黑体_GBK" w:cs="宋体"/>
                <w:bCs/>
                <w:color w:val="000000"/>
                <w:kern w:val="0"/>
                <w:sz w:val="32"/>
                <w:szCs w:val="32"/>
                <w:lang w:bidi="ar"/>
              </w:rPr>
              <w:t>类项目资金绩效目标自评表</w:t>
            </w:r>
          </w:p>
        </w:tc>
      </w:tr>
      <w:tr>
        <w:tblPrEx>
          <w:tblCellMar>
            <w:top w:w="0" w:type="dxa"/>
            <w:left w:w="108" w:type="dxa"/>
            <w:bottom w:w="0" w:type="dxa"/>
            <w:right w:w="108" w:type="dxa"/>
          </w:tblCellMar>
        </w:tblPrEx>
        <w:trPr>
          <w:trHeight w:val="443"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转移支付名称</w:t>
            </w:r>
          </w:p>
        </w:tc>
        <w:tc>
          <w:tcPr>
            <w:tcW w:w="47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eastAsia="zh-CN" w:bidi="ar"/>
              </w:rPr>
              <w:t>脱贫攻坚</w:t>
            </w:r>
            <w:r>
              <w:rPr>
                <w:rFonts w:hint="eastAsia" w:ascii="方正仿宋_GBK" w:hAnsi="宋体" w:eastAsia="方正仿宋_GBK" w:cs="宋体"/>
                <w:color w:val="000000"/>
                <w:kern w:val="0"/>
                <w:sz w:val="24"/>
                <w:lang w:bidi="ar"/>
              </w:rPr>
              <w:t>类经费</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自评总分（分)</w:t>
            </w:r>
          </w:p>
        </w:tc>
        <w:tc>
          <w:tcPr>
            <w:tcW w:w="35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100</w:t>
            </w:r>
          </w:p>
        </w:tc>
      </w:tr>
      <w:tr>
        <w:tblPrEx>
          <w:tblCellMar>
            <w:top w:w="0" w:type="dxa"/>
            <w:left w:w="108" w:type="dxa"/>
            <w:bottom w:w="0" w:type="dxa"/>
            <w:right w:w="108" w:type="dxa"/>
          </w:tblCellMar>
        </w:tblPrEx>
        <w:trPr>
          <w:trHeight w:val="64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业务主管部门</w:t>
            </w:r>
          </w:p>
        </w:tc>
        <w:tc>
          <w:tcPr>
            <w:tcW w:w="47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重庆市梁平区蟠龙镇人民政府</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联系人</w:t>
            </w:r>
            <w:r>
              <w:rPr>
                <w:rFonts w:hint="eastAsia" w:ascii="方正仿宋_GBK" w:hAnsi="宋体" w:eastAsia="方正仿宋_GBK" w:cs="宋体"/>
                <w:color w:val="000000"/>
                <w:kern w:val="0"/>
                <w:sz w:val="24"/>
                <w:lang w:bidi="ar"/>
              </w:rPr>
              <w:br w:type="textWrapping"/>
            </w:r>
            <w:r>
              <w:rPr>
                <w:rFonts w:hint="eastAsia" w:ascii="方正仿宋_GBK" w:hAnsi="宋体" w:eastAsia="方正仿宋_GBK" w:cs="宋体"/>
                <w:color w:val="000000"/>
                <w:kern w:val="0"/>
                <w:sz w:val="24"/>
                <w:lang w:bidi="ar"/>
              </w:rPr>
              <w:t>及电话</w:t>
            </w:r>
          </w:p>
        </w:tc>
        <w:tc>
          <w:tcPr>
            <w:tcW w:w="35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尹荣建       13709451817</w:t>
            </w:r>
          </w:p>
        </w:tc>
      </w:tr>
      <w:tr>
        <w:tblPrEx>
          <w:tblCellMar>
            <w:top w:w="0" w:type="dxa"/>
            <w:left w:w="108" w:type="dxa"/>
            <w:bottom w:w="0" w:type="dxa"/>
            <w:right w:w="108" w:type="dxa"/>
          </w:tblCellMar>
        </w:tblPrEx>
        <w:trPr>
          <w:trHeight w:val="1490" w:hRule="atLeast"/>
          <w:jc w:val="center"/>
        </w:trPr>
        <w:tc>
          <w:tcPr>
            <w:tcW w:w="9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项目资金（万元）</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年初预算数</w:t>
            </w:r>
          </w:p>
        </w:tc>
        <w:tc>
          <w:tcPr>
            <w:tcW w:w="3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全年预算数</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全年执行数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执行率</w:t>
            </w:r>
            <w:r>
              <w:rPr>
                <w:rFonts w:hint="eastAsia" w:ascii="方正仿宋_GBK" w:hAnsi="宋体" w:eastAsia="方正仿宋_GBK" w:cs="宋体"/>
                <w:color w:val="000000"/>
                <w:kern w:val="0"/>
                <w:sz w:val="24"/>
                <w:lang w:bidi="ar"/>
              </w:rPr>
              <w:br w:type="textWrapping"/>
            </w:r>
            <w:r>
              <w:rPr>
                <w:rFonts w:hint="eastAsia" w:ascii="方正仿宋_GBK" w:hAnsi="宋体" w:eastAsia="方正仿宋_GBK" w:cs="宋体"/>
                <w:color w:val="000000"/>
                <w:kern w:val="0"/>
                <w:sz w:val="24"/>
                <w:lang w:bidi="ar"/>
              </w:rPr>
              <w:t>（%)</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执行率得分</w:t>
            </w:r>
            <w:r>
              <w:rPr>
                <w:rFonts w:hint="eastAsia" w:ascii="方正仿宋_GBK" w:hAnsi="宋体" w:eastAsia="方正仿宋_GBK" w:cs="宋体"/>
                <w:color w:val="000000"/>
                <w:kern w:val="0"/>
                <w:sz w:val="24"/>
                <w:lang w:bidi="ar"/>
              </w:rPr>
              <w:br w:type="textWrapping"/>
            </w:r>
            <w:r>
              <w:rPr>
                <w:rFonts w:hint="eastAsia" w:ascii="方正仿宋_GBK" w:hAnsi="宋体" w:eastAsia="方正仿宋_GBK" w:cs="宋体"/>
                <w:color w:val="000000"/>
                <w:kern w:val="0"/>
                <w:sz w:val="24"/>
                <w:lang w:bidi="ar"/>
              </w:rPr>
              <w:t>（分)</w:t>
            </w:r>
          </w:p>
        </w:tc>
      </w:tr>
      <w:tr>
        <w:tblPrEx>
          <w:tblCellMar>
            <w:top w:w="0" w:type="dxa"/>
            <w:left w:w="108" w:type="dxa"/>
            <w:bottom w:w="0" w:type="dxa"/>
            <w:right w:w="108" w:type="dxa"/>
          </w:tblCellMar>
        </w:tblPrEx>
        <w:trPr>
          <w:trHeight w:val="645" w:hRule="atLeast"/>
          <w:jc w:val="center"/>
        </w:trPr>
        <w:tc>
          <w:tcPr>
            <w:tcW w:w="9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jc w:val="center"/>
              <w:rPr>
                <w:rFonts w:hint="eastAsia" w:ascii="方正仿宋_GBK" w:hAnsi="宋体" w:eastAsia="方正仿宋_GBK" w:cs="宋体"/>
                <w:color w:val="000000"/>
                <w:sz w:val="24"/>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right"/>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136.92</w:t>
            </w:r>
          </w:p>
        </w:tc>
        <w:tc>
          <w:tcPr>
            <w:tcW w:w="3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136.92</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136.92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w:t>
            </w:r>
          </w:p>
        </w:tc>
      </w:tr>
      <w:tr>
        <w:tblPrEx>
          <w:tblCellMar>
            <w:top w:w="0" w:type="dxa"/>
            <w:left w:w="108" w:type="dxa"/>
            <w:bottom w:w="0" w:type="dxa"/>
            <w:right w:w="108" w:type="dxa"/>
          </w:tblCellMar>
        </w:tblPrEx>
        <w:trPr>
          <w:trHeight w:val="645" w:hRule="atLeast"/>
          <w:jc w:val="center"/>
        </w:trPr>
        <w:tc>
          <w:tcPr>
            <w:tcW w:w="9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年度总体目标</w:t>
            </w:r>
          </w:p>
        </w:tc>
        <w:tc>
          <w:tcPr>
            <w:tcW w:w="47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年初设定目标</w:t>
            </w:r>
          </w:p>
        </w:tc>
        <w:tc>
          <w:tcPr>
            <w:tcW w:w="44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全年目标实际完成情况</w:t>
            </w:r>
          </w:p>
        </w:tc>
      </w:tr>
      <w:tr>
        <w:tblPrEx>
          <w:tblCellMar>
            <w:top w:w="0" w:type="dxa"/>
            <w:left w:w="108" w:type="dxa"/>
            <w:bottom w:w="0" w:type="dxa"/>
            <w:right w:w="108" w:type="dxa"/>
          </w:tblCellMar>
        </w:tblPrEx>
        <w:trPr>
          <w:trHeight w:val="1815" w:hRule="atLeast"/>
          <w:jc w:val="center"/>
        </w:trPr>
        <w:tc>
          <w:tcPr>
            <w:tcW w:w="9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jc w:val="center"/>
              <w:rPr>
                <w:rFonts w:hint="eastAsia" w:ascii="方正仿宋_GBK" w:hAnsi="宋体" w:eastAsia="方正仿宋_GBK" w:cs="宋体"/>
                <w:color w:val="000000"/>
                <w:sz w:val="24"/>
              </w:rPr>
            </w:pPr>
          </w:p>
        </w:tc>
        <w:tc>
          <w:tcPr>
            <w:tcW w:w="47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投入资金136.92万元，硬化产业便道3.3公里，宽1.5米，厚0.1米；帮助建卡贫困户282户发展养殖业（生猪、鸡鸭等），带动贫困户户均增收300元；</w:t>
            </w:r>
            <w:r>
              <w:rPr>
                <w:rFonts w:hint="eastAsia" w:ascii="方正仿宋_GBK" w:hAnsi="宋体" w:eastAsia="方正仿宋_GBK" w:cs="宋体"/>
                <w:color w:val="000000"/>
                <w:kern w:val="0"/>
                <w:sz w:val="24"/>
                <w:lang w:eastAsia="zh-CN" w:bidi="ar"/>
              </w:rPr>
              <w:t>“两不愁三保障</w:t>
            </w:r>
            <w:r>
              <w:rPr>
                <w:rFonts w:hint="eastAsia" w:ascii="方正仿宋_GBK" w:hAnsi="宋体" w:eastAsia="方正仿宋_GBK" w:cs="宋体"/>
                <w:color w:val="000000"/>
                <w:kern w:val="0"/>
                <w:sz w:val="24"/>
                <w:lang w:bidi="ar"/>
              </w:rPr>
              <w:t>”房屋维修77户；公益性岗位61个；医疗参保817人；</w:t>
            </w:r>
            <w:r>
              <w:rPr>
                <w:rFonts w:hint="eastAsia" w:ascii="方正仿宋_GBK" w:hAnsi="宋体" w:eastAsia="方正仿宋_GBK" w:cs="宋体"/>
                <w:color w:val="000000"/>
                <w:kern w:val="0"/>
                <w:sz w:val="24"/>
                <w:lang w:eastAsia="zh-CN" w:bidi="ar"/>
              </w:rPr>
              <w:t>疫情防控期间</w:t>
            </w:r>
            <w:r>
              <w:rPr>
                <w:rFonts w:hint="eastAsia" w:ascii="方正仿宋_GBK" w:hAnsi="宋体" w:eastAsia="方正仿宋_GBK" w:cs="宋体"/>
                <w:color w:val="000000"/>
                <w:kern w:val="0"/>
                <w:sz w:val="24"/>
                <w:lang w:bidi="ar"/>
              </w:rPr>
              <w:t>个生化扶贫240人。</w:t>
            </w:r>
          </w:p>
        </w:tc>
        <w:tc>
          <w:tcPr>
            <w:tcW w:w="44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投入资金136.92万元，硬化产业便道3.3公里，宽1.5米，厚0.1米；帮助建卡贫困户282户发展养殖业（生猪、鸡鸭等），带动贫困户户均增收300元；“</w:t>
            </w:r>
            <w:r>
              <w:rPr>
                <w:rFonts w:hint="eastAsia" w:ascii="方正仿宋_GBK" w:hAnsi="宋体" w:eastAsia="方正仿宋_GBK" w:cs="宋体"/>
                <w:color w:val="000000"/>
                <w:kern w:val="0"/>
                <w:sz w:val="24"/>
                <w:lang w:eastAsia="zh-CN" w:bidi="ar"/>
              </w:rPr>
              <w:t>“两不愁三保障”</w:t>
            </w:r>
            <w:r>
              <w:rPr>
                <w:rFonts w:hint="eastAsia" w:ascii="方正仿宋_GBK" w:hAnsi="宋体" w:eastAsia="方正仿宋_GBK" w:cs="宋体"/>
                <w:color w:val="000000"/>
                <w:kern w:val="0"/>
                <w:sz w:val="24"/>
                <w:lang w:bidi="ar"/>
              </w:rPr>
              <w:t>”房屋维修77户；公益性岗位61个；医疗参保817人；</w:t>
            </w:r>
            <w:r>
              <w:rPr>
                <w:rFonts w:hint="eastAsia" w:ascii="方正仿宋_GBK" w:hAnsi="宋体" w:eastAsia="方正仿宋_GBK" w:cs="宋体"/>
                <w:color w:val="000000"/>
                <w:kern w:val="0"/>
                <w:sz w:val="24"/>
                <w:lang w:eastAsia="zh-CN" w:bidi="ar"/>
              </w:rPr>
              <w:t>疫情防控期间</w:t>
            </w:r>
            <w:r>
              <w:rPr>
                <w:rFonts w:hint="eastAsia" w:ascii="方正仿宋_GBK" w:hAnsi="宋体" w:eastAsia="方正仿宋_GBK" w:cs="宋体"/>
                <w:color w:val="000000"/>
                <w:kern w:val="0"/>
                <w:sz w:val="24"/>
                <w:lang w:bidi="ar"/>
              </w:rPr>
              <w:t>个生化扶贫240人。</w:t>
            </w:r>
          </w:p>
        </w:tc>
      </w:tr>
      <w:tr>
        <w:tblPrEx>
          <w:tblCellMar>
            <w:top w:w="0" w:type="dxa"/>
            <w:left w:w="108" w:type="dxa"/>
            <w:bottom w:w="0" w:type="dxa"/>
            <w:right w:w="108" w:type="dxa"/>
          </w:tblCellMar>
        </w:tblPrEx>
        <w:trPr>
          <w:trHeight w:val="645" w:hRule="atLeast"/>
          <w:jc w:val="center"/>
        </w:trPr>
        <w:tc>
          <w:tcPr>
            <w:tcW w:w="931"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adjustRightInd w:val="0"/>
              <w:snapToGri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绩效指标</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指标名称</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计量单位</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年度指标值</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全年完成值</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得分系数</w:t>
            </w:r>
            <w:r>
              <w:rPr>
                <w:rFonts w:hint="eastAsia" w:ascii="方正仿宋_GBK" w:hAnsi="宋体" w:eastAsia="方正仿宋_GBK" w:cs="宋体"/>
                <w:color w:val="000000"/>
                <w:kern w:val="0"/>
                <w:sz w:val="24"/>
                <w:lang w:bidi="ar"/>
              </w:rPr>
              <w:br w:type="textWrapping"/>
            </w:r>
            <w:r>
              <w:rPr>
                <w:rFonts w:hint="eastAsia" w:ascii="方正仿宋_GBK" w:hAnsi="宋体" w:eastAsia="方正仿宋_GBK" w:cs="宋体"/>
                <w:color w:val="000000"/>
                <w:kern w:val="0"/>
                <w:sz w:val="24"/>
                <w:lang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权重</w:t>
            </w:r>
            <w:r>
              <w:rPr>
                <w:rFonts w:hint="eastAsia" w:ascii="方正仿宋_GBK" w:hAnsi="宋体" w:eastAsia="方正仿宋_GBK" w:cs="宋体"/>
                <w:color w:val="000000"/>
                <w:kern w:val="0"/>
                <w:sz w:val="24"/>
                <w:lang w:bidi="ar"/>
              </w:rPr>
              <w:br w:type="textWrapping"/>
            </w:r>
            <w:r>
              <w:rPr>
                <w:rFonts w:hint="eastAsia" w:ascii="方正仿宋_GBK" w:hAnsi="宋体" w:eastAsia="方正仿宋_GBK" w:cs="宋体"/>
                <w:color w:val="000000"/>
                <w:kern w:val="0"/>
                <w:sz w:val="24"/>
                <w:lang w:bidi="ar"/>
              </w:rPr>
              <w:t>（分)</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指标得分</w:t>
            </w:r>
            <w:r>
              <w:rPr>
                <w:rFonts w:hint="eastAsia" w:ascii="方正仿宋_GBK" w:hAnsi="宋体" w:eastAsia="方正仿宋_GBK" w:cs="宋体"/>
                <w:color w:val="000000"/>
                <w:kern w:val="0"/>
                <w:sz w:val="24"/>
                <w:lang w:bidi="ar"/>
              </w:rPr>
              <w:br w:type="textWrapping"/>
            </w:r>
            <w:r>
              <w:rPr>
                <w:rFonts w:hint="eastAsia" w:ascii="方正仿宋_GBK" w:hAnsi="宋体" w:eastAsia="方正仿宋_GBK" w:cs="宋体"/>
                <w:color w:val="000000"/>
                <w:kern w:val="0"/>
                <w:sz w:val="24"/>
                <w:lang w:bidi="ar"/>
              </w:rPr>
              <w:t>（分)</w:t>
            </w:r>
          </w:p>
        </w:tc>
      </w:tr>
      <w:tr>
        <w:tblPrEx>
          <w:tblCellMar>
            <w:top w:w="0" w:type="dxa"/>
            <w:left w:w="108" w:type="dxa"/>
            <w:bottom w:w="0" w:type="dxa"/>
            <w:right w:w="108" w:type="dxa"/>
          </w:tblCellMar>
        </w:tblPrEx>
        <w:trPr>
          <w:trHeight w:val="970" w:hRule="atLeast"/>
          <w:jc w:val="center"/>
        </w:trPr>
        <w:tc>
          <w:tcPr>
            <w:tcW w:w="9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adjustRightInd w:val="0"/>
              <w:snapToGrid w:val="0"/>
              <w:spacing w:line="400" w:lineRule="exact"/>
              <w:jc w:val="center"/>
              <w:rPr>
                <w:rFonts w:hint="eastAsia" w:ascii="方正仿宋_GBK" w:hAnsi="宋体" w:eastAsia="方正仿宋_GBK" w:cs="宋体"/>
                <w:color w:val="000000"/>
                <w:sz w:val="24"/>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产出数量指标</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产业便道、产为发展、</w:t>
            </w:r>
            <w:r>
              <w:rPr>
                <w:rFonts w:hint="eastAsia" w:ascii="方正仿宋_GBK" w:hAnsi="宋体" w:eastAsia="方正仿宋_GBK" w:cs="宋体"/>
                <w:color w:val="000000"/>
                <w:kern w:val="0"/>
                <w:sz w:val="24"/>
                <w:lang w:eastAsia="zh-CN" w:bidi="ar"/>
              </w:rPr>
              <w:t>“两不愁三保障”</w:t>
            </w:r>
            <w:r>
              <w:rPr>
                <w:rFonts w:hint="eastAsia" w:ascii="方正仿宋_GBK" w:hAnsi="宋体" w:eastAsia="方正仿宋_GBK" w:cs="宋体"/>
                <w:color w:val="000000"/>
                <w:kern w:val="0"/>
                <w:sz w:val="24"/>
                <w:lang w:bidi="ar"/>
              </w:rPr>
              <w:t>、医疗参保、个性化扶贫</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15</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15</w:t>
            </w:r>
          </w:p>
        </w:tc>
      </w:tr>
      <w:tr>
        <w:tblPrEx>
          <w:tblCellMar>
            <w:top w:w="0" w:type="dxa"/>
            <w:left w:w="108" w:type="dxa"/>
            <w:bottom w:w="0" w:type="dxa"/>
            <w:right w:w="108" w:type="dxa"/>
          </w:tblCellMar>
        </w:tblPrEx>
        <w:trPr>
          <w:trHeight w:val="754" w:hRule="atLeast"/>
          <w:jc w:val="center"/>
        </w:trPr>
        <w:tc>
          <w:tcPr>
            <w:tcW w:w="9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adjustRightInd w:val="0"/>
              <w:snapToGrid w:val="0"/>
              <w:spacing w:line="400" w:lineRule="exact"/>
              <w:jc w:val="center"/>
              <w:rPr>
                <w:rFonts w:hint="eastAsia" w:ascii="方正仿宋_GBK" w:hAnsi="宋体" w:eastAsia="方正仿宋_GBK" w:cs="宋体"/>
                <w:color w:val="000000"/>
                <w:sz w:val="24"/>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产出质量指标</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全部脱贫</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15</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15</w:t>
            </w:r>
          </w:p>
        </w:tc>
      </w:tr>
      <w:tr>
        <w:tblPrEx>
          <w:tblCellMar>
            <w:top w:w="0" w:type="dxa"/>
            <w:left w:w="108" w:type="dxa"/>
            <w:bottom w:w="0" w:type="dxa"/>
            <w:right w:w="108" w:type="dxa"/>
          </w:tblCellMar>
        </w:tblPrEx>
        <w:trPr>
          <w:trHeight w:val="754" w:hRule="atLeast"/>
          <w:jc w:val="center"/>
        </w:trPr>
        <w:tc>
          <w:tcPr>
            <w:tcW w:w="9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adjustRightInd w:val="0"/>
              <w:snapToGrid w:val="0"/>
              <w:spacing w:line="400" w:lineRule="exact"/>
              <w:jc w:val="center"/>
              <w:rPr>
                <w:rFonts w:hint="eastAsia" w:ascii="方正仿宋_GBK" w:hAnsi="宋体" w:eastAsia="方正仿宋_GBK" w:cs="宋体"/>
                <w:color w:val="000000"/>
                <w:sz w:val="24"/>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产出进度指标</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项目启动全年完成</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15</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15</w:t>
            </w:r>
          </w:p>
        </w:tc>
      </w:tr>
      <w:tr>
        <w:tblPrEx>
          <w:tblCellMar>
            <w:top w:w="0" w:type="dxa"/>
            <w:left w:w="108" w:type="dxa"/>
            <w:bottom w:w="0" w:type="dxa"/>
            <w:right w:w="108" w:type="dxa"/>
          </w:tblCellMar>
        </w:tblPrEx>
        <w:trPr>
          <w:trHeight w:val="754" w:hRule="atLeast"/>
          <w:jc w:val="center"/>
        </w:trPr>
        <w:tc>
          <w:tcPr>
            <w:tcW w:w="9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adjustRightInd w:val="0"/>
              <w:snapToGrid w:val="0"/>
              <w:spacing w:line="400" w:lineRule="exact"/>
              <w:jc w:val="center"/>
              <w:rPr>
                <w:rFonts w:hint="eastAsia" w:ascii="方正仿宋_GBK" w:hAnsi="宋体" w:eastAsia="方正仿宋_GBK" w:cs="宋体"/>
                <w:color w:val="000000"/>
                <w:sz w:val="24"/>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产出成本指标</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136.92万元以内</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817</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15</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15</w:t>
            </w:r>
          </w:p>
        </w:tc>
      </w:tr>
      <w:tr>
        <w:tblPrEx>
          <w:tblCellMar>
            <w:top w:w="0" w:type="dxa"/>
            <w:left w:w="108" w:type="dxa"/>
            <w:bottom w:w="0" w:type="dxa"/>
            <w:right w:w="108" w:type="dxa"/>
          </w:tblCellMar>
        </w:tblPrEx>
        <w:trPr>
          <w:trHeight w:val="754" w:hRule="atLeast"/>
          <w:jc w:val="center"/>
        </w:trPr>
        <w:tc>
          <w:tcPr>
            <w:tcW w:w="9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adjustRightInd w:val="0"/>
              <w:snapToGrid w:val="0"/>
              <w:spacing w:line="400" w:lineRule="exact"/>
              <w:jc w:val="center"/>
              <w:rPr>
                <w:rFonts w:hint="eastAsia" w:ascii="方正仿宋_GBK" w:hAnsi="宋体" w:eastAsia="方正仿宋_GBK" w:cs="宋体"/>
                <w:color w:val="000000"/>
                <w:sz w:val="24"/>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社会效益指标</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脱贫率</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15</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15</w:t>
            </w:r>
          </w:p>
        </w:tc>
      </w:tr>
      <w:tr>
        <w:tblPrEx>
          <w:tblCellMar>
            <w:top w:w="0" w:type="dxa"/>
            <w:left w:w="108" w:type="dxa"/>
            <w:bottom w:w="0" w:type="dxa"/>
            <w:right w:w="108" w:type="dxa"/>
          </w:tblCellMar>
        </w:tblPrEx>
        <w:trPr>
          <w:trHeight w:val="754" w:hRule="atLeast"/>
          <w:jc w:val="center"/>
        </w:trPr>
        <w:tc>
          <w:tcPr>
            <w:tcW w:w="9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adjustRightInd w:val="0"/>
              <w:snapToGrid w:val="0"/>
              <w:spacing w:line="400" w:lineRule="exact"/>
              <w:jc w:val="center"/>
              <w:rPr>
                <w:rFonts w:hint="eastAsia" w:ascii="方正仿宋_GBK" w:hAnsi="宋体" w:eastAsia="方正仿宋_GBK" w:cs="宋体"/>
                <w:color w:val="000000"/>
                <w:sz w:val="24"/>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满意度指标</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群众满意</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15</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15</w:t>
            </w:r>
          </w:p>
        </w:tc>
      </w:tr>
      <w:tr>
        <w:tblPrEx>
          <w:tblCellMar>
            <w:top w:w="0" w:type="dxa"/>
            <w:left w:w="108" w:type="dxa"/>
            <w:bottom w:w="0" w:type="dxa"/>
            <w:right w:w="108" w:type="dxa"/>
          </w:tblCellMar>
        </w:tblPrEx>
        <w:trPr>
          <w:trHeight w:val="600"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说明</w:t>
            </w:r>
          </w:p>
        </w:tc>
        <w:tc>
          <w:tcPr>
            <w:tcW w:w="927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jc w:val="center"/>
              <w:rPr>
                <w:rFonts w:hint="eastAsia" w:ascii="方正仿宋_GBK" w:hAnsi="宋体" w:eastAsia="方正仿宋_GBK" w:cs="宋体"/>
                <w:color w:val="000000"/>
                <w:sz w:val="24"/>
              </w:rPr>
            </w:pPr>
          </w:p>
        </w:tc>
      </w:tr>
    </w:tbl>
    <w:tbl>
      <w:tblPr>
        <w:tblStyle w:val="5"/>
        <w:tblpPr w:leftFromText="180" w:rightFromText="180" w:vertAnchor="text" w:horzAnchor="page" w:tblpXSpec="center" w:tblpY="153"/>
        <w:tblOverlap w:val="never"/>
        <w:tblW w:w="10095" w:type="dxa"/>
        <w:tblInd w:w="0" w:type="dxa"/>
        <w:tblLayout w:type="fixed"/>
        <w:tblCellMar>
          <w:top w:w="0" w:type="dxa"/>
          <w:left w:w="108" w:type="dxa"/>
          <w:bottom w:w="0" w:type="dxa"/>
          <w:right w:w="108" w:type="dxa"/>
        </w:tblCellMar>
      </w:tblPr>
      <w:tblGrid>
        <w:gridCol w:w="931"/>
        <w:gridCol w:w="1627"/>
        <w:gridCol w:w="58"/>
        <w:gridCol w:w="1032"/>
        <w:gridCol w:w="1298"/>
        <w:gridCol w:w="562"/>
        <w:gridCol w:w="806"/>
        <w:gridCol w:w="469"/>
        <w:gridCol w:w="96"/>
        <w:gridCol w:w="1032"/>
        <w:gridCol w:w="1175"/>
        <w:gridCol w:w="61"/>
        <w:gridCol w:w="804"/>
        <w:gridCol w:w="144"/>
      </w:tblGrid>
      <w:tr>
        <w:tblPrEx>
          <w:tblCellMar>
            <w:top w:w="0" w:type="dxa"/>
            <w:left w:w="108" w:type="dxa"/>
            <w:bottom w:w="0" w:type="dxa"/>
            <w:right w:w="108" w:type="dxa"/>
          </w:tblCellMar>
        </w:tblPrEx>
        <w:trPr>
          <w:gridAfter w:val="1"/>
          <w:wAfter w:w="144" w:type="dxa"/>
          <w:trHeight w:val="585" w:hRule="atLeast"/>
        </w:trPr>
        <w:tc>
          <w:tcPr>
            <w:tcW w:w="9951" w:type="dxa"/>
            <w:gridSpan w:val="13"/>
            <w:tcBorders>
              <w:top w:val="nil"/>
              <w:left w:val="nil"/>
              <w:bottom w:val="nil"/>
              <w:right w:val="nil"/>
            </w:tcBorders>
            <w:shd w:val="clear" w:color="auto" w:fill="auto"/>
            <w:vAlign w:val="center"/>
          </w:tcPr>
          <w:p>
            <w:pPr>
              <w:widowControl/>
              <w:adjustRightInd w:val="0"/>
              <w:ind w:firstLine="640" w:firstLineChars="200"/>
              <w:jc w:val="center"/>
              <w:textAlignment w:val="center"/>
              <w:rPr>
                <w:rFonts w:hint="eastAsia" w:ascii="方正黑体_GBK" w:hAnsi="宋体" w:eastAsia="方正黑体_GBK" w:cs="宋体"/>
                <w:bCs/>
                <w:color w:val="000000"/>
                <w:sz w:val="32"/>
                <w:szCs w:val="32"/>
              </w:rPr>
            </w:pPr>
            <w:r>
              <w:rPr>
                <w:rFonts w:hint="eastAsia" w:ascii="方正黑体_GBK" w:hAnsi="宋体" w:eastAsia="方正黑体_GBK" w:cs="宋体"/>
                <w:bCs/>
                <w:color w:val="000000"/>
                <w:kern w:val="0"/>
                <w:sz w:val="32"/>
                <w:szCs w:val="32"/>
                <w:lang w:bidi="ar"/>
              </w:rPr>
              <w:t>基础设施类项目资金绩效目标自评表</w:t>
            </w:r>
          </w:p>
        </w:tc>
      </w:tr>
      <w:tr>
        <w:tblPrEx>
          <w:tblCellMar>
            <w:top w:w="0" w:type="dxa"/>
            <w:left w:w="108" w:type="dxa"/>
            <w:bottom w:w="0" w:type="dxa"/>
            <w:right w:w="108" w:type="dxa"/>
          </w:tblCellMar>
        </w:tblPrEx>
        <w:trPr>
          <w:gridAfter w:val="1"/>
          <w:wAfter w:w="144" w:type="dxa"/>
          <w:trHeight w:val="64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转移支付名称</w:t>
            </w:r>
          </w:p>
        </w:tc>
        <w:tc>
          <w:tcPr>
            <w:tcW w:w="45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基础设施类经费</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自评总分</w:t>
            </w:r>
            <w:r>
              <w:rPr>
                <w:rFonts w:hint="eastAsia" w:ascii="方正仿宋_GBK" w:hAnsi="宋体" w:eastAsia="方正仿宋_GBK" w:cs="宋体"/>
                <w:color w:val="000000"/>
                <w:kern w:val="0"/>
                <w:sz w:val="24"/>
                <w:lang w:bidi="ar"/>
              </w:rPr>
              <w:br w:type="textWrapping"/>
            </w:r>
            <w:r>
              <w:rPr>
                <w:rFonts w:hint="eastAsia" w:ascii="方正仿宋_GBK" w:hAnsi="宋体" w:eastAsia="方正仿宋_GBK" w:cs="宋体"/>
                <w:color w:val="000000"/>
                <w:kern w:val="0"/>
                <w:sz w:val="24"/>
                <w:lang w:bidi="ar"/>
              </w:rPr>
              <w:t>（分)</w:t>
            </w:r>
          </w:p>
        </w:tc>
        <w:tc>
          <w:tcPr>
            <w:tcW w:w="31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100</w:t>
            </w:r>
          </w:p>
        </w:tc>
      </w:tr>
      <w:tr>
        <w:tblPrEx>
          <w:tblCellMar>
            <w:top w:w="0" w:type="dxa"/>
            <w:left w:w="108" w:type="dxa"/>
            <w:bottom w:w="0" w:type="dxa"/>
            <w:right w:w="108" w:type="dxa"/>
          </w:tblCellMar>
        </w:tblPrEx>
        <w:trPr>
          <w:gridAfter w:val="1"/>
          <w:wAfter w:w="144" w:type="dxa"/>
          <w:trHeight w:val="64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业务主管部门</w:t>
            </w:r>
          </w:p>
        </w:tc>
        <w:tc>
          <w:tcPr>
            <w:tcW w:w="45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重庆市梁平区蟠龙镇人民政府</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联系人</w:t>
            </w:r>
            <w:r>
              <w:rPr>
                <w:rFonts w:hint="eastAsia" w:ascii="方正仿宋_GBK" w:hAnsi="宋体" w:eastAsia="方正仿宋_GBK" w:cs="宋体"/>
                <w:color w:val="000000"/>
                <w:kern w:val="0"/>
                <w:sz w:val="24"/>
                <w:lang w:bidi="ar"/>
              </w:rPr>
              <w:br w:type="textWrapping"/>
            </w:r>
            <w:r>
              <w:rPr>
                <w:rFonts w:hint="eastAsia" w:ascii="方正仿宋_GBK" w:hAnsi="宋体" w:eastAsia="方正仿宋_GBK" w:cs="宋体"/>
                <w:color w:val="000000"/>
                <w:kern w:val="0"/>
                <w:sz w:val="24"/>
                <w:lang w:bidi="ar"/>
              </w:rPr>
              <w:t>及电话</w:t>
            </w:r>
          </w:p>
        </w:tc>
        <w:tc>
          <w:tcPr>
            <w:tcW w:w="31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尹荣建       13709451817</w:t>
            </w:r>
          </w:p>
        </w:tc>
      </w:tr>
      <w:tr>
        <w:tblPrEx>
          <w:tblCellMar>
            <w:top w:w="0" w:type="dxa"/>
            <w:left w:w="108" w:type="dxa"/>
            <w:bottom w:w="0" w:type="dxa"/>
            <w:right w:w="108" w:type="dxa"/>
          </w:tblCellMar>
        </w:tblPrEx>
        <w:trPr>
          <w:gridAfter w:val="1"/>
          <w:wAfter w:w="144" w:type="dxa"/>
          <w:trHeight w:val="645" w:hRule="atLeast"/>
        </w:trPr>
        <w:tc>
          <w:tcPr>
            <w:tcW w:w="9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项目资金（万元）</w:t>
            </w:r>
          </w:p>
        </w:tc>
        <w:tc>
          <w:tcPr>
            <w:tcW w:w="1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年初预算数</w:t>
            </w:r>
          </w:p>
        </w:tc>
        <w:tc>
          <w:tcPr>
            <w:tcW w:w="28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全年预算数</w:t>
            </w:r>
          </w:p>
        </w:tc>
        <w:tc>
          <w:tcPr>
            <w:tcW w:w="24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全年执行数</w:t>
            </w: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执行率</w:t>
            </w:r>
            <w:r>
              <w:rPr>
                <w:rFonts w:hint="eastAsia" w:ascii="方正仿宋_GBK" w:hAnsi="宋体" w:eastAsia="方正仿宋_GBK" w:cs="宋体"/>
                <w:color w:val="000000"/>
                <w:kern w:val="0"/>
                <w:sz w:val="24"/>
                <w:lang w:bidi="ar"/>
              </w:rPr>
              <w:br w:type="textWrapping"/>
            </w:r>
            <w:r>
              <w:rPr>
                <w:rFonts w:hint="eastAsia" w:ascii="方正仿宋_GBK" w:hAnsi="宋体" w:eastAsia="方正仿宋_GBK" w:cs="宋体"/>
                <w:color w:val="000000"/>
                <w:kern w:val="0"/>
                <w:sz w:val="24"/>
                <w:lang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执行率得分</w:t>
            </w:r>
            <w:r>
              <w:rPr>
                <w:rFonts w:hint="eastAsia" w:ascii="方正仿宋_GBK" w:hAnsi="宋体" w:eastAsia="方正仿宋_GBK" w:cs="宋体"/>
                <w:color w:val="000000"/>
                <w:kern w:val="0"/>
                <w:sz w:val="24"/>
                <w:lang w:bidi="ar"/>
              </w:rPr>
              <w:br w:type="textWrapping"/>
            </w:r>
            <w:r>
              <w:rPr>
                <w:rFonts w:hint="eastAsia" w:ascii="方正仿宋_GBK" w:hAnsi="宋体" w:eastAsia="方正仿宋_GBK" w:cs="宋体"/>
                <w:color w:val="000000"/>
                <w:kern w:val="0"/>
                <w:sz w:val="24"/>
                <w:lang w:bidi="ar"/>
              </w:rPr>
              <w:t>（分)</w:t>
            </w:r>
          </w:p>
        </w:tc>
      </w:tr>
      <w:tr>
        <w:tblPrEx>
          <w:tblCellMar>
            <w:top w:w="0" w:type="dxa"/>
            <w:left w:w="108" w:type="dxa"/>
            <w:bottom w:w="0" w:type="dxa"/>
            <w:right w:w="108" w:type="dxa"/>
          </w:tblCellMar>
        </w:tblPrEx>
        <w:trPr>
          <w:gridAfter w:val="1"/>
          <w:wAfter w:w="144" w:type="dxa"/>
          <w:trHeight w:val="645" w:hRule="atLeast"/>
        </w:trPr>
        <w:tc>
          <w:tcPr>
            <w:tcW w:w="9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pacing w:line="400" w:lineRule="exact"/>
              <w:jc w:val="center"/>
              <w:rPr>
                <w:rFonts w:hint="eastAsia" w:ascii="方正仿宋_GBK" w:hAnsi="宋体" w:eastAsia="方正仿宋_GBK" w:cs="宋体"/>
                <w:color w:val="000000"/>
                <w:sz w:val="24"/>
              </w:rPr>
            </w:pPr>
          </w:p>
        </w:tc>
        <w:tc>
          <w:tcPr>
            <w:tcW w:w="1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right"/>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308.45</w:t>
            </w:r>
          </w:p>
        </w:tc>
        <w:tc>
          <w:tcPr>
            <w:tcW w:w="28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308.45</w:t>
            </w:r>
          </w:p>
        </w:tc>
        <w:tc>
          <w:tcPr>
            <w:tcW w:w="24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308.45</w:t>
            </w: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w:t>
            </w:r>
          </w:p>
        </w:tc>
      </w:tr>
      <w:tr>
        <w:tblPrEx>
          <w:tblCellMar>
            <w:top w:w="0" w:type="dxa"/>
            <w:left w:w="108" w:type="dxa"/>
            <w:bottom w:w="0" w:type="dxa"/>
            <w:right w:w="108" w:type="dxa"/>
          </w:tblCellMar>
        </w:tblPrEx>
        <w:trPr>
          <w:gridAfter w:val="1"/>
          <w:wAfter w:w="144" w:type="dxa"/>
          <w:trHeight w:val="645" w:hRule="atLeast"/>
        </w:trPr>
        <w:tc>
          <w:tcPr>
            <w:tcW w:w="9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年度总体目标</w:t>
            </w:r>
          </w:p>
        </w:tc>
        <w:tc>
          <w:tcPr>
            <w:tcW w:w="45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年初设定目标</w:t>
            </w:r>
          </w:p>
        </w:tc>
        <w:tc>
          <w:tcPr>
            <w:tcW w:w="444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全年目标实际完成情况</w:t>
            </w:r>
          </w:p>
        </w:tc>
      </w:tr>
      <w:tr>
        <w:tblPrEx>
          <w:tblCellMar>
            <w:top w:w="0" w:type="dxa"/>
            <w:left w:w="108" w:type="dxa"/>
            <w:bottom w:w="0" w:type="dxa"/>
            <w:right w:w="108" w:type="dxa"/>
          </w:tblCellMar>
        </w:tblPrEx>
        <w:trPr>
          <w:gridAfter w:val="1"/>
          <w:wAfter w:w="144" w:type="dxa"/>
          <w:trHeight w:val="1815" w:hRule="atLeast"/>
        </w:trPr>
        <w:tc>
          <w:tcPr>
            <w:tcW w:w="9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pacing w:line="400" w:lineRule="exact"/>
              <w:jc w:val="center"/>
              <w:rPr>
                <w:rFonts w:hint="eastAsia" w:ascii="方正仿宋_GBK" w:hAnsi="宋体" w:eastAsia="方正仿宋_GBK" w:cs="宋体"/>
                <w:color w:val="000000"/>
                <w:sz w:val="24"/>
              </w:rPr>
            </w:pPr>
          </w:p>
        </w:tc>
        <w:tc>
          <w:tcPr>
            <w:tcW w:w="45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投入资金308.45万元，场镇污水管网108.25万元、建设950米；一事一议建设115.42万元、道路硬化4.4公里；公路养护3.72万元、养护37.2公里；投入52.74万元、建成村社区养老托养院80平方米；投入30万元、扶贫道路800米。</w:t>
            </w:r>
          </w:p>
        </w:tc>
        <w:tc>
          <w:tcPr>
            <w:tcW w:w="444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投入资金308.45万元，场镇污水管网108.25万元、建设950米；一事一议建设115.42万元、道路硬化4.4公里；公路养护3.72万元、养护37.2公里；投入52.74万元、建成村社区养老托养院80平方米；投入30万元、扶贫道路800米。</w:t>
            </w:r>
          </w:p>
        </w:tc>
      </w:tr>
      <w:tr>
        <w:tblPrEx>
          <w:tblCellMar>
            <w:top w:w="0" w:type="dxa"/>
            <w:left w:w="108" w:type="dxa"/>
            <w:bottom w:w="0" w:type="dxa"/>
            <w:right w:w="108" w:type="dxa"/>
          </w:tblCellMar>
        </w:tblPrEx>
        <w:trPr>
          <w:gridAfter w:val="1"/>
          <w:wAfter w:w="144" w:type="dxa"/>
          <w:trHeight w:val="645" w:hRule="atLeast"/>
        </w:trPr>
        <w:tc>
          <w:tcPr>
            <w:tcW w:w="931"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绩效指标</w:t>
            </w:r>
          </w:p>
        </w:tc>
        <w:tc>
          <w:tcPr>
            <w:tcW w:w="1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指标名称</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计量单位</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年度指标值</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全年完成值</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得分系数</w:t>
            </w:r>
            <w:r>
              <w:rPr>
                <w:rFonts w:hint="eastAsia" w:ascii="方正仿宋_GBK" w:hAnsi="宋体" w:eastAsia="方正仿宋_GBK" w:cs="宋体"/>
                <w:color w:val="000000"/>
                <w:kern w:val="0"/>
                <w:sz w:val="24"/>
                <w:lang w:bidi="ar"/>
              </w:rPr>
              <w:br w:type="textWrapping"/>
            </w:r>
            <w:r>
              <w:rPr>
                <w:rFonts w:hint="eastAsia" w:ascii="方正仿宋_GBK" w:hAnsi="宋体" w:eastAsia="方正仿宋_GBK" w:cs="宋体"/>
                <w:color w:val="000000"/>
                <w:kern w:val="0"/>
                <w:sz w:val="24"/>
                <w:lang w:bidi="ar"/>
              </w:rPr>
              <w:t>（%)</w:t>
            </w: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权重</w:t>
            </w:r>
            <w:r>
              <w:rPr>
                <w:rFonts w:hint="eastAsia" w:ascii="方正仿宋_GBK" w:hAnsi="宋体" w:eastAsia="方正仿宋_GBK" w:cs="宋体"/>
                <w:color w:val="000000"/>
                <w:kern w:val="0"/>
                <w:sz w:val="24"/>
                <w:lang w:bidi="ar"/>
              </w:rPr>
              <w:br w:type="textWrapping"/>
            </w:r>
            <w:r>
              <w:rPr>
                <w:rFonts w:hint="eastAsia" w:ascii="方正仿宋_GBK" w:hAnsi="宋体" w:eastAsia="方正仿宋_GBK" w:cs="宋体"/>
                <w:color w:val="000000"/>
                <w:kern w:val="0"/>
                <w:sz w:val="24"/>
                <w:lang w:bidi="ar"/>
              </w:rPr>
              <w:t>（分)</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指标得分</w:t>
            </w:r>
            <w:r>
              <w:rPr>
                <w:rFonts w:hint="eastAsia" w:ascii="方正仿宋_GBK" w:hAnsi="宋体" w:eastAsia="方正仿宋_GBK" w:cs="宋体"/>
                <w:color w:val="000000"/>
                <w:kern w:val="0"/>
                <w:sz w:val="24"/>
                <w:lang w:bidi="ar"/>
              </w:rPr>
              <w:br w:type="textWrapping"/>
            </w:r>
            <w:r>
              <w:rPr>
                <w:rFonts w:hint="eastAsia" w:ascii="方正仿宋_GBK" w:hAnsi="宋体" w:eastAsia="方正仿宋_GBK" w:cs="宋体"/>
                <w:color w:val="000000"/>
                <w:kern w:val="0"/>
                <w:sz w:val="24"/>
                <w:lang w:bidi="ar"/>
              </w:rPr>
              <w:t>（分)</w:t>
            </w:r>
          </w:p>
        </w:tc>
      </w:tr>
      <w:tr>
        <w:tblPrEx>
          <w:tblCellMar>
            <w:top w:w="0" w:type="dxa"/>
            <w:left w:w="108" w:type="dxa"/>
            <w:bottom w:w="0" w:type="dxa"/>
            <w:right w:w="108" w:type="dxa"/>
          </w:tblCellMar>
        </w:tblPrEx>
        <w:trPr>
          <w:gridAfter w:val="1"/>
          <w:wAfter w:w="144" w:type="dxa"/>
          <w:trHeight w:val="1000" w:hRule="atLeast"/>
        </w:trPr>
        <w:tc>
          <w:tcPr>
            <w:tcW w:w="9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adjustRightInd w:val="0"/>
              <w:spacing w:line="400" w:lineRule="exact"/>
              <w:jc w:val="center"/>
              <w:rPr>
                <w:rFonts w:hint="eastAsia" w:ascii="方正仿宋_GBK" w:hAnsi="宋体" w:eastAsia="方正仿宋_GBK" w:cs="宋体"/>
                <w:color w:val="000000"/>
                <w:sz w:val="24"/>
              </w:rPr>
            </w:pPr>
          </w:p>
        </w:tc>
        <w:tc>
          <w:tcPr>
            <w:tcW w:w="1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产出质量指标</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污水管网、公路养护、社区养老托养院、农村道路建设项目</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100%</w:t>
            </w: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w:t>
            </w:r>
          </w:p>
        </w:tc>
      </w:tr>
      <w:tr>
        <w:tblPrEx>
          <w:tblCellMar>
            <w:top w:w="0" w:type="dxa"/>
            <w:left w:w="108" w:type="dxa"/>
            <w:bottom w:w="0" w:type="dxa"/>
            <w:right w:w="108" w:type="dxa"/>
          </w:tblCellMar>
        </w:tblPrEx>
        <w:trPr>
          <w:gridAfter w:val="1"/>
          <w:wAfter w:w="144" w:type="dxa"/>
          <w:trHeight w:val="492" w:hRule="atLeast"/>
        </w:trPr>
        <w:tc>
          <w:tcPr>
            <w:tcW w:w="9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adjustRightInd w:val="0"/>
              <w:spacing w:line="400" w:lineRule="exact"/>
              <w:jc w:val="center"/>
              <w:rPr>
                <w:rFonts w:hint="eastAsia" w:ascii="方正仿宋_GBK" w:hAnsi="宋体" w:eastAsia="方正仿宋_GBK" w:cs="宋体"/>
                <w:color w:val="000000"/>
                <w:sz w:val="24"/>
              </w:rPr>
            </w:pPr>
          </w:p>
        </w:tc>
        <w:tc>
          <w:tcPr>
            <w:tcW w:w="1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产出进度指标</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项目启动全年完成</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100%</w:t>
            </w: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w:t>
            </w:r>
          </w:p>
        </w:tc>
      </w:tr>
      <w:tr>
        <w:tblPrEx>
          <w:tblCellMar>
            <w:top w:w="0" w:type="dxa"/>
            <w:left w:w="108" w:type="dxa"/>
            <w:bottom w:w="0" w:type="dxa"/>
            <w:right w:w="108" w:type="dxa"/>
          </w:tblCellMar>
        </w:tblPrEx>
        <w:trPr>
          <w:gridAfter w:val="1"/>
          <w:wAfter w:w="144" w:type="dxa"/>
          <w:trHeight w:val="444" w:hRule="atLeast"/>
        </w:trPr>
        <w:tc>
          <w:tcPr>
            <w:tcW w:w="9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adjustRightInd w:val="0"/>
              <w:spacing w:line="400" w:lineRule="exact"/>
              <w:jc w:val="center"/>
              <w:rPr>
                <w:rFonts w:hint="eastAsia" w:ascii="方正仿宋_GBK" w:hAnsi="宋体" w:eastAsia="方正仿宋_GBK" w:cs="宋体"/>
                <w:color w:val="000000"/>
                <w:sz w:val="24"/>
              </w:rPr>
            </w:pPr>
          </w:p>
        </w:tc>
        <w:tc>
          <w:tcPr>
            <w:tcW w:w="1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产出时效指标</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全年</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100%</w:t>
            </w: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w:t>
            </w:r>
          </w:p>
        </w:tc>
      </w:tr>
      <w:tr>
        <w:tblPrEx>
          <w:tblCellMar>
            <w:top w:w="0" w:type="dxa"/>
            <w:left w:w="108" w:type="dxa"/>
            <w:bottom w:w="0" w:type="dxa"/>
            <w:right w:w="108" w:type="dxa"/>
          </w:tblCellMar>
        </w:tblPrEx>
        <w:trPr>
          <w:gridAfter w:val="1"/>
          <w:wAfter w:w="144" w:type="dxa"/>
          <w:trHeight w:val="528" w:hRule="atLeast"/>
        </w:trPr>
        <w:tc>
          <w:tcPr>
            <w:tcW w:w="9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adjustRightInd w:val="0"/>
              <w:spacing w:line="400" w:lineRule="exact"/>
              <w:jc w:val="center"/>
              <w:rPr>
                <w:rFonts w:hint="eastAsia" w:ascii="方正仿宋_GBK" w:hAnsi="宋体" w:eastAsia="方正仿宋_GBK" w:cs="宋体"/>
                <w:color w:val="000000"/>
                <w:sz w:val="24"/>
              </w:rPr>
            </w:pPr>
          </w:p>
        </w:tc>
        <w:tc>
          <w:tcPr>
            <w:tcW w:w="1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产出成本指标</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308.45万元以内</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100%</w:t>
            </w: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w:t>
            </w:r>
          </w:p>
        </w:tc>
      </w:tr>
      <w:tr>
        <w:tblPrEx>
          <w:tblCellMar>
            <w:top w:w="0" w:type="dxa"/>
            <w:left w:w="108" w:type="dxa"/>
            <w:bottom w:w="0" w:type="dxa"/>
            <w:right w:w="108" w:type="dxa"/>
          </w:tblCellMar>
        </w:tblPrEx>
        <w:trPr>
          <w:gridAfter w:val="1"/>
          <w:wAfter w:w="144" w:type="dxa"/>
          <w:trHeight w:val="528" w:hRule="atLeast"/>
        </w:trPr>
        <w:tc>
          <w:tcPr>
            <w:tcW w:w="9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adjustRightInd w:val="0"/>
              <w:spacing w:line="400" w:lineRule="exact"/>
              <w:jc w:val="center"/>
              <w:rPr>
                <w:rFonts w:hint="eastAsia" w:ascii="方正仿宋_GBK" w:hAnsi="宋体" w:eastAsia="方正仿宋_GBK" w:cs="宋体"/>
                <w:color w:val="000000"/>
                <w:sz w:val="24"/>
              </w:rPr>
            </w:pPr>
          </w:p>
        </w:tc>
        <w:tc>
          <w:tcPr>
            <w:tcW w:w="1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经济效益指标</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eastAsia="zh-CN" w:bidi="ar"/>
              </w:rPr>
              <w:t>提高生活</w:t>
            </w:r>
            <w:r>
              <w:rPr>
                <w:rFonts w:hint="eastAsia" w:ascii="方正仿宋_GBK" w:hAnsi="宋体" w:eastAsia="方正仿宋_GBK" w:cs="宋体"/>
                <w:color w:val="000000"/>
                <w:kern w:val="0"/>
                <w:sz w:val="24"/>
                <w:lang w:bidi="ar"/>
              </w:rPr>
              <w:t>质量</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100%</w:t>
            </w: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w:t>
            </w:r>
          </w:p>
        </w:tc>
      </w:tr>
      <w:tr>
        <w:tblPrEx>
          <w:tblCellMar>
            <w:top w:w="0" w:type="dxa"/>
            <w:left w:w="108" w:type="dxa"/>
            <w:bottom w:w="0" w:type="dxa"/>
            <w:right w:w="108" w:type="dxa"/>
          </w:tblCellMar>
        </w:tblPrEx>
        <w:trPr>
          <w:gridAfter w:val="1"/>
          <w:wAfter w:w="144" w:type="dxa"/>
          <w:trHeight w:val="754" w:hRule="atLeast"/>
        </w:trPr>
        <w:tc>
          <w:tcPr>
            <w:tcW w:w="9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adjustRightInd w:val="0"/>
              <w:spacing w:line="400" w:lineRule="exact"/>
              <w:jc w:val="center"/>
              <w:rPr>
                <w:rFonts w:hint="eastAsia" w:ascii="方正仿宋_GBK" w:hAnsi="宋体" w:eastAsia="方正仿宋_GBK" w:cs="宋体"/>
                <w:color w:val="000000"/>
                <w:sz w:val="24"/>
              </w:rPr>
            </w:pPr>
          </w:p>
        </w:tc>
        <w:tc>
          <w:tcPr>
            <w:tcW w:w="1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社会效益指标</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改善生产生活环境</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100%</w:t>
            </w: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w:t>
            </w:r>
          </w:p>
        </w:tc>
      </w:tr>
      <w:tr>
        <w:tblPrEx>
          <w:tblCellMar>
            <w:top w:w="0" w:type="dxa"/>
            <w:left w:w="108" w:type="dxa"/>
            <w:bottom w:w="0" w:type="dxa"/>
            <w:right w:w="108" w:type="dxa"/>
          </w:tblCellMar>
        </w:tblPrEx>
        <w:trPr>
          <w:gridAfter w:val="1"/>
          <w:wAfter w:w="144" w:type="dxa"/>
          <w:trHeight w:val="528" w:hRule="atLeast"/>
        </w:trPr>
        <w:tc>
          <w:tcPr>
            <w:tcW w:w="9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adjustRightInd w:val="0"/>
              <w:spacing w:line="400" w:lineRule="exact"/>
              <w:jc w:val="center"/>
              <w:rPr>
                <w:rFonts w:hint="eastAsia" w:ascii="方正仿宋_GBK" w:hAnsi="宋体" w:eastAsia="方正仿宋_GBK" w:cs="宋体"/>
                <w:color w:val="000000"/>
                <w:sz w:val="24"/>
              </w:rPr>
            </w:pPr>
          </w:p>
        </w:tc>
        <w:tc>
          <w:tcPr>
            <w:tcW w:w="1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环境效益指标</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改善环境质量</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100%</w:t>
            </w: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w:t>
            </w:r>
          </w:p>
        </w:tc>
      </w:tr>
      <w:tr>
        <w:tblPrEx>
          <w:tblCellMar>
            <w:top w:w="0" w:type="dxa"/>
            <w:left w:w="108" w:type="dxa"/>
            <w:bottom w:w="0" w:type="dxa"/>
            <w:right w:w="108" w:type="dxa"/>
          </w:tblCellMar>
        </w:tblPrEx>
        <w:trPr>
          <w:gridAfter w:val="1"/>
          <w:wAfter w:w="144" w:type="dxa"/>
          <w:trHeight w:val="552" w:hRule="atLeast"/>
        </w:trPr>
        <w:tc>
          <w:tcPr>
            <w:tcW w:w="9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adjustRightInd w:val="0"/>
              <w:spacing w:line="400" w:lineRule="exact"/>
              <w:jc w:val="center"/>
              <w:rPr>
                <w:rFonts w:hint="eastAsia" w:ascii="方正仿宋_GBK" w:hAnsi="宋体" w:eastAsia="方正仿宋_GBK" w:cs="宋体"/>
                <w:color w:val="000000"/>
                <w:sz w:val="24"/>
              </w:rPr>
            </w:pPr>
          </w:p>
        </w:tc>
        <w:tc>
          <w:tcPr>
            <w:tcW w:w="1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可持续影响指标</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全年保持</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100%</w:t>
            </w: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w:t>
            </w:r>
          </w:p>
        </w:tc>
      </w:tr>
      <w:tr>
        <w:tblPrEx>
          <w:tblCellMar>
            <w:top w:w="0" w:type="dxa"/>
            <w:left w:w="108" w:type="dxa"/>
            <w:bottom w:w="0" w:type="dxa"/>
            <w:right w:w="108" w:type="dxa"/>
          </w:tblCellMar>
        </w:tblPrEx>
        <w:trPr>
          <w:gridAfter w:val="1"/>
          <w:wAfter w:w="144" w:type="dxa"/>
          <w:trHeight w:val="468" w:hRule="atLeast"/>
        </w:trPr>
        <w:tc>
          <w:tcPr>
            <w:tcW w:w="9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adjustRightInd w:val="0"/>
              <w:spacing w:line="400" w:lineRule="exact"/>
              <w:jc w:val="center"/>
              <w:rPr>
                <w:rFonts w:hint="eastAsia" w:ascii="方正仿宋_GBK" w:hAnsi="宋体" w:eastAsia="方正仿宋_GBK" w:cs="宋体"/>
                <w:color w:val="000000"/>
                <w:sz w:val="24"/>
              </w:rPr>
            </w:pPr>
          </w:p>
        </w:tc>
        <w:tc>
          <w:tcPr>
            <w:tcW w:w="1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满意度指标</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群众满意</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100%</w:t>
            </w: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w:t>
            </w:r>
          </w:p>
        </w:tc>
      </w:tr>
      <w:tr>
        <w:tblPrEx>
          <w:tblCellMar>
            <w:top w:w="0" w:type="dxa"/>
            <w:left w:w="108" w:type="dxa"/>
            <w:bottom w:w="0" w:type="dxa"/>
            <w:right w:w="108" w:type="dxa"/>
          </w:tblCellMar>
        </w:tblPrEx>
        <w:trPr>
          <w:gridAfter w:val="1"/>
          <w:wAfter w:w="144" w:type="dxa"/>
          <w:trHeight w:val="624"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说明</w:t>
            </w:r>
          </w:p>
        </w:tc>
        <w:tc>
          <w:tcPr>
            <w:tcW w:w="902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pacing w:line="400" w:lineRule="exact"/>
              <w:jc w:val="center"/>
              <w:rPr>
                <w:rFonts w:hint="eastAsia" w:ascii="方正仿宋_GBK" w:hAnsi="宋体" w:eastAsia="方正仿宋_GBK" w:cs="宋体"/>
                <w:color w:val="000000"/>
                <w:sz w:val="24"/>
              </w:rPr>
            </w:pPr>
          </w:p>
        </w:tc>
      </w:tr>
      <w:tr>
        <w:tblPrEx>
          <w:tblCellMar>
            <w:top w:w="0" w:type="dxa"/>
            <w:left w:w="108" w:type="dxa"/>
            <w:bottom w:w="0" w:type="dxa"/>
            <w:right w:w="108" w:type="dxa"/>
          </w:tblCellMar>
        </w:tblPrEx>
        <w:trPr>
          <w:trHeight w:val="711" w:hRule="atLeast"/>
        </w:trPr>
        <w:tc>
          <w:tcPr>
            <w:tcW w:w="10095" w:type="dxa"/>
            <w:gridSpan w:val="14"/>
            <w:tcBorders>
              <w:top w:val="nil"/>
              <w:left w:val="nil"/>
              <w:bottom w:val="nil"/>
              <w:right w:val="nil"/>
            </w:tcBorders>
            <w:shd w:val="clear" w:color="auto" w:fill="auto"/>
            <w:vAlign w:val="center"/>
          </w:tcPr>
          <w:p>
            <w:pPr>
              <w:widowControl/>
              <w:adjustRightInd w:val="0"/>
              <w:ind w:firstLine="640" w:firstLineChars="200"/>
              <w:jc w:val="center"/>
              <w:textAlignment w:val="center"/>
              <w:rPr>
                <w:rFonts w:hint="eastAsia" w:ascii="方正黑体_GBK" w:hAnsi="宋体" w:eastAsia="方正黑体_GBK" w:cs="宋体"/>
                <w:bCs/>
                <w:color w:val="000000"/>
                <w:sz w:val="32"/>
                <w:szCs w:val="32"/>
              </w:rPr>
            </w:pPr>
            <w:r>
              <w:rPr>
                <w:rFonts w:hint="eastAsia" w:ascii="方正黑体_GBK" w:hAnsi="宋体" w:eastAsia="方正黑体_GBK" w:cs="宋体"/>
                <w:bCs/>
                <w:color w:val="000000"/>
                <w:kern w:val="0"/>
                <w:sz w:val="32"/>
                <w:szCs w:val="32"/>
                <w:lang w:bidi="ar"/>
              </w:rPr>
              <w:t>生态环保类项目资金绩效目标自评表</w:t>
            </w:r>
          </w:p>
        </w:tc>
      </w:tr>
      <w:tr>
        <w:tblPrEx>
          <w:tblCellMar>
            <w:top w:w="0" w:type="dxa"/>
            <w:left w:w="108" w:type="dxa"/>
            <w:bottom w:w="0" w:type="dxa"/>
            <w:right w:w="108" w:type="dxa"/>
          </w:tblCellMar>
        </w:tblPrEx>
        <w:trPr>
          <w:trHeight w:val="527"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转移支付名称</w:t>
            </w:r>
          </w:p>
        </w:tc>
        <w:tc>
          <w:tcPr>
            <w:tcW w:w="40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生态环保类经费</w:t>
            </w: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自评总分</w:t>
            </w:r>
            <w:r>
              <w:rPr>
                <w:rFonts w:hint="eastAsia" w:ascii="方正仿宋_GBK" w:hAnsi="宋体" w:eastAsia="方正仿宋_GBK" w:cs="宋体"/>
                <w:color w:val="000000"/>
                <w:kern w:val="0"/>
                <w:sz w:val="24"/>
                <w:lang w:bidi="ar"/>
              </w:rPr>
              <w:br w:type="textWrapping"/>
            </w:r>
            <w:r>
              <w:rPr>
                <w:rFonts w:hint="eastAsia" w:ascii="方正仿宋_GBK" w:hAnsi="宋体" w:eastAsia="方正仿宋_GBK" w:cs="宋体"/>
                <w:color w:val="000000"/>
                <w:kern w:val="0"/>
                <w:sz w:val="24"/>
                <w:lang w:bidi="ar"/>
              </w:rPr>
              <w:t>（分)</w:t>
            </w:r>
          </w:p>
        </w:tc>
        <w:tc>
          <w:tcPr>
            <w:tcW w:w="37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100</w:t>
            </w:r>
          </w:p>
        </w:tc>
      </w:tr>
      <w:tr>
        <w:tblPrEx>
          <w:tblCellMar>
            <w:top w:w="0" w:type="dxa"/>
            <w:left w:w="108" w:type="dxa"/>
            <w:bottom w:w="0" w:type="dxa"/>
            <w:right w:w="108" w:type="dxa"/>
          </w:tblCellMar>
        </w:tblPrEx>
        <w:trPr>
          <w:trHeight w:val="539"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业务主管部门</w:t>
            </w:r>
          </w:p>
        </w:tc>
        <w:tc>
          <w:tcPr>
            <w:tcW w:w="40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重庆市梁平区蟠龙镇人民政府</w:t>
            </w: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联系人</w:t>
            </w:r>
            <w:r>
              <w:rPr>
                <w:rFonts w:hint="eastAsia" w:ascii="方正仿宋_GBK" w:hAnsi="宋体" w:eastAsia="方正仿宋_GBK" w:cs="宋体"/>
                <w:color w:val="000000"/>
                <w:kern w:val="0"/>
                <w:sz w:val="24"/>
                <w:lang w:bidi="ar"/>
              </w:rPr>
              <w:br w:type="textWrapping"/>
            </w:r>
            <w:r>
              <w:rPr>
                <w:rFonts w:hint="eastAsia" w:ascii="方正仿宋_GBK" w:hAnsi="宋体" w:eastAsia="方正仿宋_GBK" w:cs="宋体"/>
                <w:color w:val="000000"/>
                <w:kern w:val="0"/>
                <w:sz w:val="24"/>
                <w:lang w:bidi="ar"/>
              </w:rPr>
              <w:t>及电话</w:t>
            </w:r>
          </w:p>
        </w:tc>
        <w:tc>
          <w:tcPr>
            <w:tcW w:w="37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2940"/>
              </w:tabs>
              <w:adjustRightInd w:val="0"/>
              <w:snapToGrid w:val="0"/>
              <w:spacing w:line="300" w:lineRule="exact"/>
              <w:ind w:right="1514"/>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尹荣建   13709451817</w:t>
            </w:r>
          </w:p>
        </w:tc>
      </w:tr>
      <w:tr>
        <w:tblPrEx>
          <w:tblCellMar>
            <w:top w:w="0" w:type="dxa"/>
            <w:left w:w="108" w:type="dxa"/>
            <w:bottom w:w="0" w:type="dxa"/>
            <w:right w:w="108" w:type="dxa"/>
          </w:tblCellMar>
        </w:tblPrEx>
        <w:trPr>
          <w:trHeight w:val="758" w:hRule="atLeast"/>
        </w:trPr>
        <w:tc>
          <w:tcPr>
            <w:tcW w:w="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项目资金（万元）</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年初预算数</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全年预算数</w:t>
            </w:r>
          </w:p>
        </w:tc>
        <w:tc>
          <w:tcPr>
            <w:tcW w:w="19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全年执行数</w:t>
            </w:r>
          </w:p>
        </w:tc>
        <w:tc>
          <w:tcPr>
            <w:tcW w:w="22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执行率</w:t>
            </w:r>
            <w:r>
              <w:rPr>
                <w:rFonts w:hint="eastAsia" w:ascii="方正仿宋_GBK" w:hAnsi="宋体" w:eastAsia="方正仿宋_GBK" w:cs="宋体"/>
                <w:color w:val="000000"/>
                <w:kern w:val="0"/>
                <w:sz w:val="24"/>
                <w:lang w:bidi="ar"/>
              </w:rPr>
              <w:br w:type="textWrapping"/>
            </w:r>
            <w:r>
              <w:rPr>
                <w:rFonts w:hint="eastAsia" w:ascii="方正仿宋_GBK" w:hAnsi="宋体" w:eastAsia="方正仿宋_GBK" w:cs="宋体"/>
                <w:color w:val="000000"/>
                <w:kern w:val="0"/>
                <w:sz w:val="24"/>
                <w:lang w:bidi="ar"/>
              </w:rPr>
              <w:t>（%)</w:t>
            </w:r>
          </w:p>
        </w:tc>
        <w:tc>
          <w:tcPr>
            <w:tcW w:w="10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执行率得分</w:t>
            </w:r>
            <w:r>
              <w:rPr>
                <w:rFonts w:hint="eastAsia" w:ascii="方正仿宋_GBK" w:hAnsi="宋体" w:eastAsia="方正仿宋_GBK" w:cs="宋体"/>
                <w:color w:val="000000"/>
                <w:kern w:val="0"/>
                <w:sz w:val="24"/>
                <w:lang w:bidi="ar"/>
              </w:rPr>
              <w:br w:type="textWrapping"/>
            </w:r>
            <w:r>
              <w:rPr>
                <w:rFonts w:hint="eastAsia" w:ascii="方正仿宋_GBK" w:hAnsi="宋体" w:eastAsia="方正仿宋_GBK" w:cs="宋体"/>
                <w:color w:val="000000"/>
                <w:kern w:val="0"/>
                <w:sz w:val="24"/>
                <w:lang w:bidi="ar"/>
              </w:rPr>
              <w:t>（分)</w:t>
            </w:r>
          </w:p>
        </w:tc>
      </w:tr>
      <w:tr>
        <w:tblPrEx>
          <w:tblCellMar>
            <w:top w:w="0" w:type="dxa"/>
            <w:left w:w="108" w:type="dxa"/>
            <w:bottom w:w="0" w:type="dxa"/>
            <w:right w:w="108" w:type="dxa"/>
          </w:tblCellMar>
        </w:tblPrEx>
        <w:trPr>
          <w:trHeight w:val="421" w:hRule="atLeast"/>
        </w:trPr>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eastAsia" w:ascii="方正仿宋_GBK" w:hAnsi="宋体" w:eastAsia="方正仿宋_GBK" w:cs="宋体"/>
                <w:color w:val="000000"/>
                <w:sz w:val="24"/>
              </w:rPr>
            </w:pP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right"/>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152.71</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152.71</w:t>
            </w:r>
          </w:p>
        </w:tc>
        <w:tc>
          <w:tcPr>
            <w:tcW w:w="19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152.71</w:t>
            </w:r>
          </w:p>
        </w:tc>
        <w:tc>
          <w:tcPr>
            <w:tcW w:w="22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100%</w:t>
            </w:r>
          </w:p>
        </w:tc>
        <w:tc>
          <w:tcPr>
            <w:tcW w:w="10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w:t>
            </w:r>
          </w:p>
        </w:tc>
      </w:tr>
      <w:tr>
        <w:tblPrEx>
          <w:tblCellMar>
            <w:top w:w="0" w:type="dxa"/>
            <w:left w:w="108" w:type="dxa"/>
            <w:bottom w:w="0" w:type="dxa"/>
            <w:right w:w="108" w:type="dxa"/>
          </w:tblCellMar>
        </w:tblPrEx>
        <w:trPr>
          <w:trHeight w:val="443" w:hRule="atLeast"/>
        </w:trPr>
        <w:tc>
          <w:tcPr>
            <w:tcW w:w="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年度总体目标</w:t>
            </w:r>
          </w:p>
        </w:tc>
        <w:tc>
          <w:tcPr>
            <w:tcW w:w="40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年初设定目标</w:t>
            </w:r>
          </w:p>
        </w:tc>
        <w:tc>
          <w:tcPr>
            <w:tcW w:w="514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全年目标实际完成情况</w:t>
            </w:r>
          </w:p>
        </w:tc>
      </w:tr>
      <w:tr>
        <w:tblPrEx>
          <w:tblCellMar>
            <w:top w:w="0" w:type="dxa"/>
            <w:left w:w="108" w:type="dxa"/>
            <w:bottom w:w="0" w:type="dxa"/>
            <w:right w:w="108" w:type="dxa"/>
          </w:tblCellMar>
        </w:tblPrEx>
        <w:trPr>
          <w:trHeight w:val="1815" w:hRule="atLeast"/>
        </w:trPr>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eastAsia" w:ascii="方正仿宋_GBK" w:hAnsi="宋体" w:eastAsia="方正仿宋_GBK" w:cs="宋体"/>
                <w:color w:val="000000"/>
                <w:sz w:val="24"/>
              </w:rPr>
            </w:pPr>
          </w:p>
        </w:tc>
        <w:tc>
          <w:tcPr>
            <w:tcW w:w="40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投入资金38万元、农村改侧补助190户；植树造林、森林抚育37.5万元、；天然林管护人员补助费13.38万元、；森林松线虫防治费投入50万元、；小城镇基础设施垃圾桶购置投入1.22万元、防治污染物垃圾分类11.22万元；污水处理防治1.39万元。</w:t>
            </w:r>
          </w:p>
        </w:tc>
        <w:tc>
          <w:tcPr>
            <w:tcW w:w="514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投入资金38万元、农村改侧补助190户；植树造林、森林抚育37.5万元、；天然林管护人员补助费13.38万元、；森林松线虫防治费投入50万元、；小城镇基础设施垃圾桶购置投入1.22万元、防治污染物垃圾分类11.22万元；污水处理防治1.39万元。</w:t>
            </w:r>
          </w:p>
        </w:tc>
      </w:tr>
      <w:tr>
        <w:tblPrEx>
          <w:tblCellMar>
            <w:top w:w="0" w:type="dxa"/>
            <w:left w:w="108" w:type="dxa"/>
            <w:bottom w:w="0" w:type="dxa"/>
            <w:right w:w="108" w:type="dxa"/>
          </w:tblCellMar>
        </w:tblPrEx>
        <w:trPr>
          <w:trHeight w:val="830" w:hRule="atLeast"/>
        </w:trPr>
        <w:tc>
          <w:tcPr>
            <w:tcW w:w="932"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adjustRightInd w:val="0"/>
              <w:snapToGrid w:val="0"/>
              <w:spacing w:line="3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绩效指标</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指标名称</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计量单位</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年度指标值</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全年完成值</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得分系数</w:t>
            </w:r>
            <w:r>
              <w:rPr>
                <w:rFonts w:hint="eastAsia" w:ascii="方正仿宋_GBK" w:hAnsi="宋体" w:eastAsia="方正仿宋_GBK" w:cs="宋体"/>
                <w:color w:val="000000"/>
                <w:kern w:val="0"/>
                <w:sz w:val="24"/>
                <w:lang w:bidi="ar"/>
              </w:rPr>
              <w:br w:type="textWrapping"/>
            </w:r>
            <w:r>
              <w:rPr>
                <w:rFonts w:hint="eastAsia" w:ascii="方正仿宋_GBK" w:hAnsi="宋体" w:eastAsia="方正仿宋_GBK" w:cs="宋体"/>
                <w:color w:val="000000"/>
                <w:kern w:val="0"/>
                <w:sz w:val="24"/>
                <w:lang w:bidi="ar"/>
              </w:rPr>
              <w:t>（%)</w:t>
            </w: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权重</w:t>
            </w:r>
            <w:r>
              <w:rPr>
                <w:rFonts w:hint="eastAsia" w:ascii="方正仿宋_GBK" w:hAnsi="宋体" w:eastAsia="方正仿宋_GBK" w:cs="宋体"/>
                <w:color w:val="000000"/>
                <w:kern w:val="0"/>
                <w:sz w:val="24"/>
                <w:lang w:bidi="ar"/>
              </w:rPr>
              <w:br w:type="textWrapping"/>
            </w:r>
            <w:r>
              <w:rPr>
                <w:rFonts w:hint="eastAsia" w:ascii="方正仿宋_GBK" w:hAnsi="宋体" w:eastAsia="方正仿宋_GBK" w:cs="宋体"/>
                <w:color w:val="000000"/>
                <w:kern w:val="0"/>
                <w:sz w:val="24"/>
                <w:lang w:bidi="ar"/>
              </w:rPr>
              <w:t>（分)</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指标得分</w:t>
            </w:r>
            <w:r>
              <w:rPr>
                <w:rFonts w:hint="eastAsia" w:ascii="方正仿宋_GBK" w:hAnsi="宋体" w:eastAsia="方正仿宋_GBK" w:cs="宋体"/>
                <w:color w:val="000000"/>
                <w:kern w:val="0"/>
                <w:sz w:val="24"/>
                <w:lang w:bidi="ar"/>
              </w:rPr>
              <w:br w:type="textWrapping"/>
            </w:r>
            <w:r>
              <w:rPr>
                <w:rFonts w:hint="eastAsia" w:ascii="方正仿宋_GBK" w:hAnsi="宋体" w:eastAsia="方正仿宋_GBK" w:cs="宋体"/>
                <w:color w:val="000000"/>
                <w:kern w:val="0"/>
                <w:sz w:val="24"/>
                <w:lang w:bidi="ar"/>
              </w:rPr>
              <w:t>（分)</w:t>
            </w:r>
          </w:p>
        </w:tc>
      </w:tr>
      <w:tr>
        <w:tblPrEx>
          <w:tblCellMar>
            <w:top w:w="0" w:type="dxa"/>
            <w:left w:w="108" w:type="dxa"/>
            <w:bottom w:w="0" w:type="dxa"/>
            <w:right w:w="108" w:type="dxa"/>
          </w:tblCellMar>
        </w:tblPrEx>
        <w:trPr>
          <w:trHeight w:val="2100" w:hRule="atLeast"/>
        </w:trPr>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adjustRightInd w:val="0"/>
              <w:snapToGrid w:val="0"/>
              <w:spacing w:line="300" w:lineRule="exact"/>
              <w:jc w:val="center"/>
              <w:rPr>
                <w:rFonts w:hint="eastAsia" w:ascii="方正仿宋_GBK" w:hAnsi="宋体" w:eastAsia="方正仿宋_GBK" w:cs="宋体"/>
                <w:color w:val="000000"/>
                <w:sz w:val="24"/>
              </w:rPr>
            </w:pP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产出质量指标</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农村改侧、植树造林、森林抚育、森林松线虫防治、防治污染物垃圾分类、污水处理防治、小城镇基础设施垃圾桶购置。</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100%</w:t>
            </w: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w:t>
            </w:r>
          </w:p>
        </w:tc>
      </w:tr>
      <w:tr>
        <w:tblPrEx>
          <w:tblCellMar>
            <w:top w:w="0" w:type="dxa"/>
            <w:left w:w="108" w:type="dxa"/>
            <w:bottom w:w="0" w:type="dxa"/>
            <w:right w:w="108" w:type="dxa"/>
          </w:tblCellMar>
        </w:tblPrEx>
        <w:trPr>
          <w:trHeight w:val="754" w:hRule="atLeast"/>
        </w:trPr>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adjustRightInd w:val="0"/>
              <w:snapToGrid w:val="0"/>
              <w:spacing w:line="300" w:lineRule="exact"/>
              <w:jc w:val="center"/>
              <w:rPr>
                <w:rFonts w:hint="eastAsia" w:ascii="方正仿宋_GBK" w:hAnsi="宋体" w:eastAsia="方正仿宋_GBK" w:cs="宋体"/>
                <w:color w:val="000000"/>
                <w:sz w:val="24"/>
              </w:rPr>
            </w:pP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产出进度指标</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项目启动全年完成</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100%</w:t>
            </w: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w:t>
            </w:r>
          </w:p>
        </w:tc>
      </w:tr>
      <w:tr>
        <w:tblPrEx>
          <w:tblCellMar>
            <w:top w:w="0" w:type="dxa"/>
            <w:left w:w="108" w:type="dxa"/>
            <w:bottom w:w="0" w:type="dxa"/>
            <w:right w:w="108" w:type="dxa"/>
          </w:tblCellMar>
        </w:tblPrEx>
        <w:trPr>
          <w:trHeight w:val="516" w:hRule="atLeast"/>
        </w:trPr>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adjustRightInd w:val="0"/>
              <w:snapToGrid w:val="0"/>
              <w:spacing w:line="300" w:lineRule="exact"/>
              <w:jc w:val="center"/>
              <w:rPr>
                <w:rFonts w:hint="eastAsia" w:ascii="方正仿宋_GBK" w:hAnsi="宋体" w:eastAsia="方正仿宋_GBK" w:cs="宋体"/>
                <w:color w:val="000000"/>
                <w:sz w:val="24"/>
              </w:rPr>
            </w:pP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产出时效指标</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全年</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100%</w:t>
            </w: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w:t>
            </w:r>
          </w:p>
        </w:tc>
      </w:tr>
      <w:tr>
        <w:tblPrEx>
          <w:tblCellMar>
            <w:top w:w="0" w:type="dxa"/>
            <w:left w:w="108" w:type="dxa"/>
            <w:bottom w:w="0" w:type="dxa"/>
            <w:right w:w="108" w:type="dxa"/>
          </w:tblCellMar>
        </w:tblPrEx>
        <w:trPr>
          <w:trHeight w:val="564" w:hRule="atLeast"/>
        </w:trPr>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adjustRightInd w:val="0"/>
              <w:snapToGrid w:val="0"/>
              <w:spacing w:line="300" w:lineRule="exact"/>
              <w:jc w:val="center"/>
              <w:rPr>
                <w:rFonts w:hint="eastAsia" w:ascii="方正仿宋_GBK" w:hAnsi="宋体" w:eastAsia="方正仿宋_GBK" w:cs="宋体"/>
                <w:color w:val="000000"/>
                <w:sz w:val="24"/>
              </w:rPr>
            </w:pP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产出成本指标</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152.71万元以内</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100%</w:t>
            </w: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w:t>
            </w:r>
          </w:p>
        </w:tc>
      </w:tr>
      <w:tr>
        <w:tblPrEx>
          <w:tblCellMar>
            <w:top w:w="0" w:type="dxa"/>
            <w:left w:w="108" w:type="dxa"/>
            <w:bottom w:w="0" w:type="dxa"/>
            <w:right w:w="108" w:type="dxa"/>
          </w:tblCellMar>
        </w:tblPrEx>
        <w:trPr>
          <w:trHeight w:val="492" w:hRule="atLeast"/>
        </w:trPr>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adjustRightInd w:val="0"/>
              <w:snapToGrid w:val="0"/>
              <w:spacing w:line="300" w:lineRule="exact"/>
              <w:jc w:val="center"/>
              <w:rPr>
                <w:rFonts w:hint="eastAsia" w:ascii="方正仿宋_GBK" w:hAnsi="宋体" w:eastAsia="方正仿宋_GBK" w:cs="宋体"/>
                <w:color w:val="000000"/>
                <w:sz w:val="24"/>
              </w:rPr>
            </w:pP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经济效益指标</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绿化、美化</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100%</w:t>
            </w: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w:t>
            </w:r>
          </w:p>
        </w:tc>
      </w:tr>
      <w:tr>
        <w:tblPrEx>
          <w:tblCellMar>
            <w:top w:w="0" w:type="dxa"/>
            <w:left w:w="108" w:type="dxa"/>
            <w:bottom w:w="0" w:type="dxa"/>
            <w:right w:w="108" w:type="dxa"/>
          </w:tblCellMar>
        </w:tblPrEx>
        <w:trPr>
          <w:trHeight w:val="420" w:hRule="atLeast"/>
        </w:trPr>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adjustRightInd w:val="0"/>
              <w:snapToGrid w:val="0"/>
              <w:spacing w:line="300" w:lineRule="exact"/>
              <w:jc w:val="center"/>
              <w:rPr>
                <w:rFonts w:hint="eastAsia" w:ascii="方正仿宋_GBK" w:hAnsi="宋体" w:eastAsia="方正仿宋_GBK" w:cs="宋体"/>
                <w:color w:val="000000"/>
                <w:sz w:val="24"/>
              </w:rPr>
            </w:pP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社会效益指标</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eastAsia="zh-CN" w:bidi="ar"/>
              </w:rPr>
              <w:t>提高生活</w:t>
            </w:r>
            <w:r>
              <w:rPr>
                <w:rFonts w:hint="eastAsia" w:ascii="方正仿宋_GBK" w:hAnsi="宋体" w:eastAsia="方正仿宋_GBK" w:cs="宋体"/>
                <w:color w:val="000000"/>
                <w:kern w:val="0"/>
                <w:sz w:val="24"/>
                <w:lang w:bidi="ar"/>
              </w:rPr>
              <w:t>环境</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100%</w:t>
            </w: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w:t>
            </w:r>
          </w:p>
        </w:tc>
      </w:tr>
      <w:tr>
        <w:tblPrEx>
          <w:tblCellMar>
            <w:top w:w="0" w:type="dxa"/>
            <w:left w:w="108" w:type="dxa"/>
            <w:bottom w:w="0" w:type="dxa"/>
            <w:right w:w="108" w:type="dxa"/>
          </w:tblCellMar>
        </w:tblPrEx>
        <w:trPr>
          <w:trHeight w:val="516" w:hRule="atLeast"/>
        </w:trPr>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adjustRightInd w:val="0"/>
              <w:snapToGrid w:val="0"/>
              <w:spacing w:line="300" w:lineRule="exact"/>
              <w:jc w:val="center"/>
              <w:rPr>
                <w:rFonts w:hint="eastAsia" w:ascii="方正仿宋_GBK" w:hAnsi="宋体" w:eastAsia="方正仿宋_GBK" w:cs="宋体"/>
                <w:color w:val="000000"/>
                <w:sz w:val="24"/>
              </w:rPr>
            </w:pP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环境效益指标</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生态经济</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100%</w:t>
            </w: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w:t>
            </w:r>
          </w:p>
        </w:tc>
      </w:tr>
      <w:tr>
        <w:tblPrEx>
          <w:tblCellMar>
            <w:top w:w="0" w:type="dxa"/>
            <w:left w:w="108" w:type="dxa"/>
            <w:bottom w:w="0" w:type="dxa"/>
            <w:right w:w="108" w:type="dxa"/>
          </w:tblCellMar>
        </w:tblPrEx>
        <w:trPr>
          <w:trHeight w:val="528" w:hRule="atLeast"/>
        </w:trPr>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adjustRightInd w:val="0"/>
              <w:snapToGrid w:val="0"/>
              <w:spacing w:line="300" w:lineRule="exact"/>
              <w:jc w:val="center"/>
              <w:rPr>
                <w:rFonts w:hint="eastAsia" w:ascii="方正仿宋_GBK" w:hAnsi="宋体" w:eastAsia="方正仿宋_GBK" w:cs="宋体"/>
                <w:color w:val="000000"/>
                <w:sz w:val="24"/>
              </w:rPr>
            </w:pPr>
          </w:p>
        </w:tc>
        <w:tc>
          <w:tcPr>
            <w:tcW w:w="1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可持续影响指标</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全年保持</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100%</w:t>
            </w: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w:t>
            </w:r>
          </w:p>
        </w:tc>
      </w:tr>
      <w:tr>
        <w:tblPrEx>
          <w:tblCellMar>
            <w:top w:w="0" w:type="dxa"/>
            <w:left w:w="108" w:type="dxa"/>
            <w:bottom w:w="0" w:type="dxa"/>
            <w:right w:w="108" w:type="dxa"/>
          </w:tblCellMar>
        </w:tblPrEx>
        <w:trPr>
          <w:trHeight w:val="754" w:hRule="atLeast"/>
        </w:trPr>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adjustRightInd w:val="0"/>
              <w:snapToGrid w:val="0"/>
              <w:spacing w:line="300" w:lineRule="exact"/>
              <w:jc w:val="center"/>
              <w:rPr>
                <w:rFonts w:hint="eastAsia" w:ascii="方正仿宋_GBK" w:hAnsi="宋体" w:eastAsia="方正仿宋_GBK" w:cs="宋体"/>
                <w:color w:val="000000"/>
                <w:sz w:val="24"/>
              </w:rPr>
            </w:pPr>
          </w:p>
        </w:tc>
        <w:tc>
          <w:tcPr>
            <w:tcW w:w="1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满意度指标</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受群众满意</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100%</w:t>
            </w: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w:t>
            </w:r>
          </w:p>
        </w:tc>
      </w:tr>
      <w:tr>
        <w:tblPrEx>
          <w:tblCellMar>
            <w:top w:w="0" w:type="dxa"/>
            <w:left w:w="108" w:type="dxa"/>
            <w:bottom w:w="0" w:type="dxa"/>
            <w:right w:w="108" w:type="dxa"/>
          </w:tblCellMar>
        </w:tblPrEx>
        <w:trPr>
          <w:trHeight w:val="684"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说明</w:t>
            </w:r>
          </w:p>
        </w:tc>
        <w:tc>
          <w:tcPr>
            <w:tcW w:w="9163"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center"/>
              <w:rPr>
                <w:rFonts w:hint="eastAsia" w:ascii="方正仿宋_GBK" w:hAnsi="宋体" w:eastAsia="方正仿宋_GBK" w:cs="宋体"/>
                <w:color w:val="000000"/>
                <w:sz w:val="24"/>
              </w:rPr>
            </w:pPr>
          </w:p>
        </w:tc>
      </w:tr>
    </w:tbl>
    <w:tbl>
      <w:tblPr>
        <w:tblStyle w:val="5"/>
        <w:tblpPr w:leftFromText="180" w:rightFromText="180" w:vertAnchor="text" w:horzAnchor="page" w:tblpXSpec="center" w:tblpY="6831"/>
        <w:tblOverlap w:val="never"/>
        <w:tblW w:w="10116" w:type="dxa"/>
        <w:tblInd w:w="0" w:type="dxa"/>
        <w:tblLayout w:type="fixed"/>
        <w:tblCellMar>
          <w:top w:w="0" w:type="dxa"/>
          <w:left w:w="108" w:type="dxa"/>
          <w:bottom w:w="0" w:type="dxa"/>
          <w:right w:w="108" w:type="dxa"/>
        </w:tblCellMar>
      </w:tblPr>
      <w:tblGrid>
        <w:gridCol w:w="931"/>
        <w:gridCol w:w="1457"/>
        <w:gridCol w:w="780"/>
        <w:gridCol w:w="15"/>
        <w:gridCol w:w="2160"/>
        <w:gridCol w:w="717"/>
        <w:gridCol w:w="483"/>
        <w:gridCol w:w="525"/>
        <w:gridCol w:w="519"/>
        <w:gridCol w:w="657"/>
        <w:gridCol w:w="267"/>
        <w:gridCol w:w="525"/>
        <w:gridCol w:w="1080"/>
      </w:tblGrid>
      <w:tr>
        <w:tblPrEx>
          <w:tblCellMar>
            <w:top w:w="0" w:type="dxa"/>
            <w:left w:w="108" w:type="dxa"/>
            <w:bottom w:w="0" w:type="dxa"/>
            <w:right w:w="108" w:type="dxa"/>
          </w:tblCellMar>
        </w:tblPrEx>
        <w:trPr>
          <w:trHeight w:val="585" w:hRule="atLeast"/>
        </w:trPr>
        <w:tc>
          <w:tcPr>
            <w:tcW w:w="10116" w:type="dxa"/>
            <w:gridSpan w:val="13"/>
            <w:tcBorders>
              <w:top w:val="nil"/>
              <w:left w:val="nil"/>
              <w:bottom w:val="nil"/>
              <w:right w:val="nil"/>
            </w:tcBorders>
            <w:shd w:val="clear" w:color="auto" w:fill="auto"/>
            <w:vAlign w:val="center"/>
          </w:tcPr>
          <w:p>
            <w:pPr>
              <w:widowControl/>
              <w:adjustRightInd w:val="0"/>
              <w:jc w:val="center"/>
              <w:textAlignment w:val="center"/>
              <w:rPr>
                <w:rFonts w:hint="eastAsia" w:ascii="宋体" w:hAnsi="宋体" w:eastAsia="宋体" w:cs="宋体"/>
                <w:b/>
                <w:bCs/>
                <w:color w:val="000000"/>
                <w:kern w:val="0"/>
                <w:sz w:val="32"/>
                <w:szCs w:val="32"/>
                <w:lang w:bidi="ar"/>
              </w:rPr>
            </w:pPr>
          </w:p>
          <w:p>
            <w:pPr>
              <w:widowControl/>
              <w:adjustRightInd w:val="0"/>
              <w:jc w:val="center"/>
              <w:textAlignment w:val="center"/>
              <w:rPr>
                <w:rFonts w:hint="eastAsia" w:ascii="宋体" w:hAnsi="宋体" w:eastAsia="宋体" w:cs="宋体"/>
                <w:b/>
                <w:bCs/>
                <w:color w:val="000000"/>
                <w:kern w:val="0"/>
                <w:sz w:val="32"/>
                <w:szCs w:val="32"/>
                <w:lang w:bidi="ar"/>
              </w:rPr>
            </w:pPr>
          </w:p>
          <w:p>
            <w:pPr>
              <w:widowControl/>
              <w:adjustRightInd w:val="0"/>
              <w:jc w:val="center"/>
              <w:textAlignment w:val="center"/>
              <w:rPr>
                <w:rFonts w:hint="eastAsia" w:ascii="宋体" w:hAnsi="宋体" w:eastAsia="宋体" w:cs="宋体"/>
                <w:b/>
                <w:bCs/>
                <w:color w:val="000000"/>
                <w:kern w:val="0"/>
                <w:sz w:val="32"/>
                <w:szCs w:val="32"/>
                <w:lang w:bidi="ar"/>
              </w:rPr>
            </w:pPr>
          </w:p>
          <w:p>
            <w:pPr>
              <w:widowControl/>
              <w:adjustRightInd w:val="0"/>
              <w:jc w:val="center"/>
              <w:textAlignment w:val="center"/>
              <w:rPr>
                <w:rFonts w:hint="eastAsia" w:ascii="方正黑体_GBK" w:hAnsi="宋体" w:eastAsia="方正黑体_GBK" w:cs="宋体"/>
                <w:bCs/>
                <w:color w:val="000000"/>
                <w:sz w:val="32"/>
                <w:szCs w:val="32"/>
              </w:rPr>
            </w:pPr>
            <w:r>
              <w:rPr>
                <w:rFonts w:hint="eastAsia" w:ascii="方正黑体_GBK" w:hAnsi="宋体" w:eastAsia="方正黑体_GBK" w:cs="宋体"/>
                <w:bCs/>
                <w:color w:val="000000"/>
                <w:kern w:val="0"/>
                <w:sz w:val="32"/>
                <w:szCs w:val="32"/>
                <w:lang w:bidi="ar"/>
              </w:rPr>
              <w:t>社会事务类项目资金绩效目标自评表</w:t>
            </w:r>
          </w:p>
        </w:tc>
      </w:tr>
      <w:tr>
        <w:tblPrEx>
          <w:tblCellMar>
            <w:top w:w="0" w:type="dxa"/>
            <w:left w:w="108" w:type="dxa"/>
            <w:bottom w:w="0" w:type="dxa"/>
            <w:right w:w="108" w:type="dxa"/>
          </w:tblCellMar>
        </w:tblPrEx>
        <w:trPr>
          <w:trHeight w:val="585" w:hRule="atLeast"/>
        </w:trPr>
        <w:tc>
          <w:tcPr>
            <w:tcW w:w="10116" w:type="dxa"/>
            <w:gridSpan w:val="13"/>
            <w:tcBorders>
              <w:top w:val="nil"/>
              <w:left w:val="nil"/>
              <w:bottom w:val="nil"/>
              <w:right w:val="nil"/>
            </w:tcBorders>
            <w:shd w:val="clear" w:color="auto" w:fill="auto"/>
            <w:vAlign w:val="center"/>
          </w:tcPr>
          <w:p>
            <w:pPr>
              <w:widowControl/>
              <w:adjustRightInd w:val="0"/>
              <w:jc w:val="center"/>
              <w:textAlignment w:val="center"/>
              <w:rPr>
                <w:rFonts w:hint="eastAsia" w:ascii="宋体" w:hAnsi="宋体" w:eastAsia="宋体" w:cs="宋体"/>
                <w:b/>
                <w:bCs/>
                <w:color w:val="000000"/>
                <w:kern w:val="0"/>
                <w:sz w:val="32"/>
                <w:szCs w:val="32"/>
                <w:lang w:bidi="ar"/>
              </w:rPr>
            </w:pPr>
          </w:p>
        </w:tc>
      </w:tr>
      <w:tr>
        <w:tblPrEx>
          <w:tblCellMar>
            <w:top w:w="0" w:type="dxa"/>
            <w:left w:w="108" w:type="dxa"/>
            <w:bottom w:w="0" w:type="dxa"/>
            <w:right w:w="108" w:type="dxa"/>
          </w:tblCellMar>
        </w:tblPrEx>
        <w:trPr>
          <w:trHeight w:val="520"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转移支付名称</w:t>
            </w:r>
          </w:p>
        </w:tc>
        <w:tc>
          <w:tcPr>
            <w:tcW w:w="44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社会事务类经费</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自评总分</w:t>
            </w:r>
            <w:r>
              <w:rPr>
                <w:rFonts w:hint="eastAsia" w:ascii="方正仿宋_GBK" w:hAnsi="宋体" w:eastAsia="方正仿宋_GBK" w:cs="宋体"/>
                <w:color w:val="000000"/>
                <w:kern w:val="0"/>
                <w:sz w:val="24"/>
                <w:lang w:bidi="ar"/>
              </w:rPr>
              <w:br w:type="textWrapping"/>
            </w:r>
            <w:r>
              <w:rPr>
                <w:rFonts w:hint="eastAsia" w:ascii="方正仿宋_GBK" w:hAnsi="宋体" w:eastAsia="方正仿宋_GBK" w:cs="宋体"/>
                <w:color w:val="000000"/>
                <w:kern w:val="0"/>
                <w:sz w:val="24"/>
                <w:lang w:bidi="ar"/>
              </w:rPr>
              <w:t>（分)</w:t>
            </w:r>
          </w:p>
        </w:tc>
        <w:tc>
          <w:tcPr>
            <w:tcW w:w="35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100</w:t>
            </w:r>
          </w:p>
        </w:tc>
      </w:tr>
      <w:tr>
        <w:tblPrEx>
          <w:tblCellMar>
            <w:top w:w="0" w:type="dxa"/>
            <w:left w:w="108" w:type="dxa"/>
            <w:bottom w:w="0" w:type="dxa"/>
            <w:right w:w="108" w:type="dxa"/>
          </w:tblCellMar>
        </w:tblPrEx>
        <w:trPr>
          <w:trHeight w:val="480"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业务主管部门</w:t>
            </w:r>
          </w:p>
        </w:tc>
        <w:tc>
          <w:tcPr>
            <w:tcW w:w="44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重庆市梁平区蟠龙镇人民政府</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联系人</w:t>
            </w:r>
            <w:r>
              <w:rPr>
                <w:rFonts w:hint="eastAsia" w:ascii="方正仿宋_GBK" w:hAnsi="宋体" w:eastAsia="方正仿宋_GBK" w:cs="宋体"/>
                <w:color w:val="000000"/>
                <w:kern w:val="0"/>
                <w:sz w:val="24"/>
                <w:lang w:bidi="ar"/>
              </w:rPr>
              <w:br w:type="textWrapping"/>
            </w:r>
            <w:r>
              <w:rPr>
                <w:rFonts w:hint="eastAsia" w:ascii="方正仿宋_GBK" w:hAnsi="宋体" w:eastAsia="方正仿宋_GBK" w:cs="宋体"/>
                <w:color w:val="000000"/>
                <w:kern w:val="0"/>
                <w:sz w:val="24"/>
                <w:lang w:bidi="ar"/>
              </w:rPr>
              <w:t>及电话</w:t>
            </w:r>
          </w:p>
        </w:tc>
        <w:tc>
          <w:tcPr>
            <w:tcW w:w="35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尹荣建        13709451817</w:t>
            </w:r>
          </w:p>
        </w:tc>
      </w:tr>
      <w:tr>
        <w:tblPrEx>
          <w:tblCellMar>
            <w:top w:w="0" w:type="dxa"/>
            <w:left w:w="108" w:type="dxa"/>
            <w:bottom w:w="0" w:type="dxa"/>
            <w:right w:w="108" w:type="dxa"/>
          </w:tblCellMar>
        </w:tblPrEx>
        <w:trPr>
          <w:trHeight w:val="380" w:hRule="atLeast"/>
        </w:trPr>
        <w:tc>
          <w:tcPr>
            <w:tcW w:w="9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项目资金（万元）</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年初预算数</w:t>
            </w:r>
          </w:p>
        </w:tc>
        <w:tc>
          <w:tcPr>
            <w:tcW w:w="2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全年预算数</w:t>
            </w:r>
          </w:p>
        </w:tc>
        <w:tc>
          <w:tcPr>
            <w:tcW w:w="22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全年执行数</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执行率</w:t>
            </w:r>
            <w:r>
              <w:rPr>
                <w:rFonts w:hint="eastAsia" w:ascii="方正仿宋_GBK" w:hAnsi="宋体" w:eastAsia="方正仿宋_GBK" w:cs="宋体"/>
                <w:color w:val="000000"/>
                <w:kern w:val="0"/>
                <w:sz w:val="24"/>
                <w:lang w:bidi="ar"/>
              </w:rPr>
              <w:br w:type="textWrapping"/>
            </w:r>
            <w:r>
              <w:rPr>
                <w:rFonts w:hint="eastAsia" w:ascii="方正仿宋_GBK" w:hAnsi="宋体" w:eastAsia="方正仿宋_GBK" w:cs="宋体"/>
                <w:color w:val="000000"/>
                <w:kern w:val="0"/>
                <w:sz w:val="24"/>
                <w:lang w:bidi="ar"/>
              </w:rPr>
              <w:t>（%)</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执行率得分</w:t>
            </w:r>
            <w:r>
              <w:rPr>
                <w:rFonts w:hint="eastAsia" w:ascii="方正仿宋_GBK" w:hAnsi="宋体" w:eastAsia="方正仿宋_GBK" w:cs="宋体"/>
                <w:color w:val="000000"/>
                <w:kern w:val="0"/>
                <w:sz w:val="24"/>
                <w:lang w:bidi="ar"/>
              </w:rPr>
              <w:br w:type="textWrapping"/>
            </w:r>
            <w:r>
              <w:rPr>
                <w:rFonts w:hint="eastAsia" w:ascii="方正仿宋_GBK" w:hAnsi="宋体" w:eastAsia="方正仿宋_GBK" w:cs="宋体"/>
                <w:color w:val="000000"/>
                <w:kern w:val="0"/>
                <w:sz w:val="24"/>
                <w:lang w:bidi="ar"/>
              </w:rPr>
              <w:t>（分)</w:t>
            </w:r>
          </w:p>
        </w:tc>
      </w:tr>
      <w:tr>
        <w:tblPrEx>
          <w:tblCellMar>
            <w:top w:w="0" w:type="dxa"/>
            <w:left w:w="108" w:type="dxa"/>
            <w:bottom w:w="0" w:type="dxa"/>
            <w:right w:w="108" w:type="dxa"/>
          </w:tblCellMar>
        </w:tblPrEx>
        <w:trPr>
          <w:trHeight w:val="440" w:hRule="atLeast"/>
        </w:trPr>
        <w:tc>
          <w:tcPr>
            <w:tcW w:w="9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pacing w:line="400" w:lineRule="exact"/>
              <w:jc w:val="center"/>
              <w:rPr>
                <w:rFonts w:hint="eastAsia" w:ascii="方正仿宋_GBK" w:hAnsi="宋体" w:eastAsia="方正仿宋_GBK" w:cs="宋体"/>
                <w:color w:val="000000"/>
                <w:sz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right"/>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82.99</w:t>
            </w:r>
          </w:p>
        </w:tc>
        <w:tc>
          <w:tcPr>
            <w:tcW w:w="2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82.99</w:t>
            </w:r>
          </w:p>
        </w:tc>
        <w:tc>
          <w:tcPr>
            <w:tcW w:w="22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82.99</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100%</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w:t>
            </w:r>
          </w:p>
        </w:tc>
      </w:tr>
      <w:tr>
        <w:tblPrEx>
          <w:tblCellMar>
            <w:top w:w="0" w:type="dxa"/>
            <w:left w:w="108" w:type="dxa"/>
            <w:bottom w:w="0" w:type="dxa"/>
            <w:right w:w="108" w:type="dxa"/>
          </w:tblCellMar>
        </w:tblPrEx>
        <w:trPr>
          <w:trHeight w:val="480" w:hRule="atLeast"/>
        </w:trPr>
        <w:tc>
          <w:tcPr>
            <w:tcW w:w="9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年度总体目标</w:t>
            </w:r>
          </w:p>
        </w:tc>
        <w:tc>
          <w:tcPr>
            <w:tcW w:w="44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年初设定目标</w:t>
            </w:r>
          </w:p>
        </w:tc>
        <w:tc>
          <w:tcPr>
            <w:tcW w:w="477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全年目标实际完成情况</w:t>
            </w:r>
          </w:p>
        </w:tc>
      </w:tr>
      <w:tr>
        <w:tblPrEx>
          <w:tblCellMar>
            <w:top w:w="0" w:type="dxa"/>
            <w:left w:w="108" w:type="dxa"/>
            <w:bottom w:w="0" w:type="dxa"/>
            <w:right w:w="108" w:type="dxa"/>
          </w:tblCellMar>
        </w:tblPrEx>
        <w:trPr>
          <w:trHeight w:val="2460" w:hRule="atLeast"/>
        </w:trPr>
        <w:tc>
          <w:tcPr>
            <w:tcW w:w="9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pacing w:line="400" w:lineRule="exact"/>
              <w:jc w:val="center"/>
              <w:rPr>
                <w:rFonts w:hint="eastAsia" w:ascii="方正仿宋_GBK" w:hAnsi="宋体" w:eastAsia="方正仿宋_GBK" w:cs="宋体"/>
                <w:color w:val="000000"/>
                <w:sz w:val="24"/>
              </w:rPr>
            </w:pPr>
          </w:p>
        </w:tc>
        <w:tc>
          <w:tcPr>
            <w:tcW w:w="44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 xml:space="preserve">   投入资金4万元，动植物防</w:t>
            </w:r>
            <w:r>
              <w:rPr>
                <w:rFonts w:hint="eastAsia" w:ascii="方正仿宋_GBK" w:hAnsi="宋体" w:eastAsia="方正仿宋_GBK" w:cs="宋体"/>
                <w:color w:val="000000"/>
                <w:kern w:val="0"/>
                <w:sz w:val="24"/>
                <w:lang w:eastAsia="zh-CN" w:bidi="ar"/>
              </w:rPr>
              <w:t>疫</w:t>
            </w:r>
            <w:r>
              <w:rPr>
                <w:rFonts w:hint="eastAsia" w:ascii="方正仿宋_GBK" w:hAnsi="宋体" w:eastAsia="方正仿宋_GBK" w:cs="宋体"/>
                <w:color w:val="000000"/>
                <w:kern w:val="0"/>
                <w:sz w:val="24"/>
                <w:lang w:bidi="ar"/>
              </w:rPr>
              <w:t>员补助4人；2.6万元、农业洪灾补助1户；1.57万元、农业生产资料补助；18.97万元、有机肥推广示范补助；31.46万元、</w:t>
            </w:r>
            <w:r>
              <w:rPr>
                <w:rFonts w:hint="eastAsia" w:ascii="方正仿宋_GBK" w:hAnsi="宋体" w:eastAsia="方正仿宋_GBK" w:cs="宋体"/>
                <w:color w:val="000000"/>
                <w:kern w:val="0"/>
                <w:sz w:val="24"/>
                <w:lang w:eastAsia="zh-CN" w:bidi="ar"/>
              </w:rPr>
              <w:t>“三支一扶”</w:t>
            </w:r>
            <w:r>
              <w:rPr>
                <w:rFonts w:hint="eastAsia" w:ascii="方正仿宋_GBK" w:hAnsi="宋体" w:eastAsia="方正仿宋_GBK" w:cs="宋体"/>
                <w:color w:val="000000"/>
                <w:kern w:val="0"/>
                <w:sz w:val="24"/>
                <w:lang w:bidi="ar"/>
              </w:rPr>
              <w:t>、选调生、村官人员4人；0.7万元、用于企业发展管理工作经费；2.5万元、规上企业发展的奖励工作；0.42万元、公共公文化工作经费；5.76万元、人大代表活动经费；0.5万元、人大代表专用办公经费；14.35万元、人口普查工作；0.3万元、团支部和妇联工作；1万元、社保就业专用工作经费；14.99万元、老党员生活补助；4.6万元、村社区食药员10人；0.8万元、征兵工作；5.76万元、村劝导员工资；4.17万元、村社区退役站经费。</w:t>
            </w:r>
          </w:p>
        </w:tc>
        <w:tc>
          <w:tcPr>
            <w:tcW w:w="477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 xml:space="preserve">   投入资金4万元，动植物防</w:t>
            </w:r>
            <w:r>
              <w:rPr>
                <w:rFonts w:hint="eastAsia" w:ascii="方正仿宋_GBK" w:hAnsi="宋体" w:eastAsia="方正仿宋_GBK" w:cs="宋体"/>
                <w:color w:val="000000"/>
                <w:kern w:val="0"/>
                <w:sz w:val="24"/>
                <w:lang w:eastAsia="zh-CN" w:bidi="ar"/>
              </w:rPr>
              <w:t>疫</w:t>
            </w:r>
            <w:r>
              <w:rPr>
                <w:rFonts w:hint="eastAsia" w:ascii="方正仿宋_GBK" w:hAnsi="宋体" w:eastAsia="方正仿宋_GBK" w:cs="宋体"/>
                <w:color w:val="000000"/>
                <w:kern w:val="0"/>
                <w:sz w:val="24"/>
                <w:lang w:bidi="ar"/>
              </w:rPr>
              <w:t>员补助4人；2.6万元、农业洪灾补助1户；1.57万元、农业生产资料补助；18.97万元、有机肥推广示范补助；31.46万元、</w:t>
            </w:r>
            <w:r>
              <w:rPr>
                <w:rFonts w:hint="eastAsia" w:ascii="方正仿宋_GBK" w:hAnsi="宋体" w:eastAsia="方正仿宋_GBK" w:cs="宋体"/>
                <w:color w:val="000000"/>
                <w:kern w:val="0"/>
                <w:sz w:val="24"/>
                <w:lang w:eastAsia="zh-CN" w:bidi="ar"/>
              </w:rPr>
              <w:t>“三支一扶”</w:t>
            </w:r>
            <w:r>
              <w:rPr>
                <w:rFonts w:hint="eastAsia" w:ascii="方正仿宋_GBK" w:hAnsi="宋体" w:eastAsia="方正仿宋_GBK" w:cs="宋体"/>
                <w:color w:val="000000"/>
                <w:kern w:val="0"/>
                <w:sz w:val="24"/>
                <w:lang w:bidi="ar"/>
              </w:rPr>
              <w:t>、选调生、村官人员4人；0.7万元、用于企业发展管理工作经费；2.5万元、规上企业发展的奖励工作；0.42万元、公共公文化工作经费；5.76万元、人大代表活动经费；0.5万元、人大代表专用办公经费；14.35万元、人口普查工作；0.3万元、团支部和妇联工作；1万元、社保就业专用工作经费；14.99万元、老党员生活补助；4.6万元、村社区食药员10人；0.8万元、征兵工作；5.76万元、村劝导员工资；4.17万元、村社区退役站经费。</w:t>
            </w:r>
          </w:p>
        </w:tc>
      </w:tr>
      <w:tr>
        <w:tblPrEx>
          <w:tblCellMar>
            <w:top w:w="0" w:type="dxa"/>
            <w:left w:w="108" w:type="dxa"/>
            <w:bottom w:w="0" w:type="dxa"/>
            <w:right w:w="108" w:type="dxa"/>
          </w:tblCellMar>
        </w:tblPrEx>
        <w:trPr>
          <w:trHeight w:val="645" w:hRule="atLeast"/>
        </w:trPr>
        <w:tc>
          <w:tcPr>
            <w:tcW w:w="931"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绩效指标</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指标名称</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计量单位</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年度指标值</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全年完成值</w:t>
            </w:r>
          </w:p>
        </w:tc>
        <w:tc>
          <w:tcPr>
            <w:tcW w:w="10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得分系数</w:t>
            </w:r>
            <w:r>
              <w:rPr>
                <w:rFonts w:hint="eastAsia" w:ascii="方正仿宋_GBK" w:hAnsi="宋体" w:eastAsia="方正仿宋_GBK" w:cs="宋体"/>
                <w:color w:val="000000"/>
                <w:kern w:val="0"/>
                <w:sz w:val="24"/>
                <w:lang w:bidi="ar"/>
              </w:rPr>
              <w:br w:type="textWrapping"/>
            </w:r>
            <w:r>
              <w:rPr>
                <w:rFonts w:hint="eastAsia" w:ascii="方正仿宋_GBK" w:hAnsi="宋体" w:eastAsia="方正仿宋_GBK" w:cs="宋体"/>
                <w:color w:val="000000"/>
                <w:kern w:val="0"/>
                <w:sz w:val="24"/>
                <w:lang w:bidi="ar"/>
              </w:rPr>
              <w:t>（%)</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权重</w:t>
            </w:r>
            <w:r>
              <w:rPr>
                <w:rFonts w:hint="eastAsia" w:ascii="方正仿宋_GBK" w:hAnsi="宋体" w:eastAsia="方正仿宋_GBK" w:cs="宋体"/>
                <w:color w:val="000000"/>
                <w:kern w:val="0"/>
                <w:sz w:val="24"/>
                <w:lang w:bidi="ar"/>
              </w:rPr>
              <w:br w:type="textWrapping"/>
            </w:r>
            <w:r>
              <w:rPr>
                <w:rFonts w:hint="eastAsia" w:ascii="方正仿宋_GBK" w:hAnsi="宋体" w:eastAsia="方正仿宋_GBK" w:cs="宋体"/>
                <w:color w:val="000000"/>
                <w:kern w:val="0"/>
                <w:sz w:val="24"/>
                <w:lang w:bidi="ar"/>
              </w:rPr>
              <w:t>（分)</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指标得分</w:t>
            </w:r>
            <w:r>
              <w:rPr>
                <w:rFonts w:hint="eastAsia" w:ascii="方正仿宋_GBK" w:hAnsi="宋体" w:eastAsia="方正仿宋_GBK" w:cs="宋体"/>
                <w:color w:val="000000"/>
                <w:kern w:val="0"/>
                <w:sz w:val="24"/>
                <w:lang w:bidi="ar"/>
              </w:rPr>
              <w:br w:type="textWrapping"/>
            </w:r>
            <w:r>
              <w:rPr>
                <w:rFonts w:hint="eastAsia" w:ascii="方正仿宋_GBK" w:hAnsi="宋体" w:eastAsia="方正仿宋_GBK" w:cs="宋体"/>
                <w:color w:val="000000"/>
                <w:kern w:val="0"/>
                <w:sz w:val="24"/>
                <w:lang w:bidi="ar"/>
              </w:rPr>
              <w:t>（分)</w:t>
            </w:r>
          </w:p>
        </w:tc>
      </w:tr>
      <w:tr>
        <w:tblPrEx>
          <w:tblCellMar>
            <w:top w:w="0" w:type="dxa"/>
            <w:left w:w="108" w:type="dxa"/>
            <w:bottom w:w="0" w:type="dxa"/>
            <w:right w:w="108" w:type="dxa"/>
          </w:tblCellMar>
        </w:tblPrEx>
        <w:trPr>
          <w:trHeight w:val="2100" w:hRule="atLeast"/>
        </w:trPr>
        <w:tc>
          <w:tcPr>
            <w:tcW w:w="9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adjustRightInd w:val="0"/>
              <w:spacing w:line="400" w:lineRule="exact"/>
              <w:jc w:val="center"/>
              <w:rPr>
                <w:rFonts w:hint="eastAsia" w:ascii="方正仿宋_GBK" w:hAnsi="宋体" w:eastAsia="方正仿宋_GBK" w:cs="宋体"/>
                <w:color w:val="000000"/>
                <w:sz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产出质量指标</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动植物防</w:t>
            </w:r>
            <w:r>
              <w:rPr>
                <w:rFonts w:hint="eastAsia" w:ascii="方正仿宋_GBK" w:hAnsi="宋体" w:eastAsia="方正仿宋_GBK" w:cs="宋体"/>
                <w:color w:val="000000"/>
                <w:kern w:val="0"/>
                <w:sz w:val="24"/>
                <w:lang w:eastAsia="zh-CN" w:bidi="ar"/>
              </w:rPr>
              <w:t>疫</w:t>
            </w:r>
            <w:r>
              <w:rPr>
                <w:rFonts w:hint="eastAsia" w:ascii="方正仿宋_GBK" w:hAnsi="宋体" w:eastAsia="方正仿宋_GBK" w:cs="宋体"/>
                <w:color w:val="000000"/>
                <w:kern w:val="0"/>
                <w:sz w:val="24"/>
                <w:lang w:bidi="ar"/>
              </w:rPr>
              <w:t>、农业生产推广、企业发展管理、公共文化、人大代表活动、人口普查、村社区食药、村劝导员、村社区退役站、老党员生活补助。</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100%</w:t>
            </w:r>
          </w:p>
        </w:tc>
        <w:tc>
          <w:tcPr>
            <w:tcW w:w="10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100%</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15</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15</w:t>
            </w:r>
          </w:p>
        </w:tc>
      </w:tr>
      <w:tr>
        <w:tblPrEx>
          <w:tblCellMar>
            <w:top w:w="0" w:type="dxa"/>
            <w:left w:w="108" w:type="dxa"/>
            <w:bottom w:w="0" w:type="dxa"/>
            <w:right w:w="108" w:type="dxa"/>
          </w:tblCellMar>
        </w:tblPrEx>
        <w:trPr>
          <w:trHeight w:val="580" w:hRule="atLeast"/>
        </w:trPr>
        <w:tc>
          <w:tcPr>
            <w:tcW w:w="9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adjustRightInd w:val="0"/>
              <w:spacing w:line="400" w:lineRule="exact"/>
              <w:jc w:val="center"/>
              <w:rPr>
                <w:rFonts w:hint="eastAsia" w:ascii="方正仿宋_GBK" w:hAnsi="宋体" w:eastAsia="方正仿宋_GBK" w:cs="宋体"/>
                <w:color w:val="000000"/>
                <w:sz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产出进度指标</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项目启动全年完成</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100%</w:t>
            </w:r>
          </w:p>
        </w:tc>
        <w:tc>
          <w:tcPr>
            <w:tcW w:w="10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100%</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15</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15</w:t>
            </w:r>
          </w:p>
        </w:tc>
      </w:tr>
      <w:tr>
        <w:tblPrEx>
          <w:tblCellMar>
            <w:top w:w="0" w:type="dxa"/>
            <w:left w:w="108" w:type="dxa"/>
            <w:bottom w:w="0" w:type="dxa"/>
            <w:right w:w="108" w:type="dxa"/>
          </w:tblCellMar>
        </w:tblPrEx>
        <w:trPr>
          <w:trHeight w:val="494" w:hRule="atLeast"/>
        </w:trPr>
        <w:tc>
          <w:tcPr>
            <w:tcW w:w="9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adjustRightInd w:val="0"/>
              <w:spacing w:line="400" w:lineRule="exact"/>
              <w:jc w:val="center"/>
              <w:rPr>
                <w:rFonts w:hint="eastAsia" w:ascii="方正仿宋_GBK" w:hAnsi="宋体" w:eastAsia="方正仿宋_GBK" w:cs="宋体"/>
                <w:color w:val="000000"/>
                <w:sz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产出时效指标</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全年</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100%</w:t>
            </w:r>
          </w:p>
        </w:tc>
        <w:tc>
          <w:tcPr>
            <w:tcW w:w="10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100%</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15</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15</w:t>
            </w:r>
          </w:p>
        </w:tc>
      </w:tr>
      <w:tr>
        <w:tblPrEx>
          <w:tblCellMar>
            <w:top w:w="0" w:type="dxa"/>
            <w:left w:w="108" w:type="dxa"/>
            <w:bottom w:w="0" w:type="dxa"/>
            <w:right w:w="108" w:type="dxa"/>
          </w:tblCellMar>
        </w:tblPrEx>
        <w:trPr>
          <w:trHeight w:val="600" w:hRule="atLeast"/>
        </w:trPr>
        <w:tc>
          <w:tcPr>
            <w:tcW w:w="9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adjustRightInd w:val="0"/>
              <w:spacing w:line="400" w:lineRule="exact"/>
              <w:jc w:val="center"/>
              <w:rPr>
                <w:rFonts w:hint="eastAsia" w:ascii="方正仿宋_GBK" w:hAnsi="宋体" w:eastAsia="方正仿宋_GBK" w:cs="宋体"/>
                <w:color w:val="000000"/>
                <w:sz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产出成本指标</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114.45万元以内</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100%</w:t>
            </w:r>
          </w:p>
        </w:tc>
        <w:tc>
          <w:tcPr>
            <w:tcW w:w="10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100%</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15</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15</w:t>
            </w:r>
          </w:p>
        </w:tc>
      </w:tr>
      <w:tr>
        <w:tblPrEx>
          <w:tblCellMar>
            <w:top w:w="0" w:type="dxa"/>
            <w:left w:w="108" w:type="dxa"/>
            <w:bottom w:w="0" w:type="dxa"/>
            <w:right w:w="108" w:type="dxa"/>
          </w:tblCellMar>
        </w:tblPrEx>
        <w:trPr>
          <w:trHeight w:val="600" w:hRule="atLeast"/>
        </w:trPr>
        <w:tc>
          <w:tcPr>
            <w:tcW w:w="9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adjustRightInd w:val="0"/>
              <w:spacing w:line="400" w:lineRule="exact"/>
              <w:jc w:val="center"/>
              <w:rPr>
                <w:rFonts w:hint="eastAsia" w:ascii="方正仿宋_GBK" w:hAnsi="宋体" w:eastAsia="方正仿宋_GBK" w:cs="宋体"/>
                <w:color w:val="000000"/>
                <w:sz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社会效益指标</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社会服务事业发展</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100%</w:t>
            </w:r>
          </w:p>
        </w:tc>
        <w:tc>
          <w:tcPr>
            <w:tcW w:w="10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100%</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15</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15</w:t>
            </w:r>
          </w:p>
        </w:tc>
      </w:tr>
      <w:tr>
        <w:tblPrEx>
          <w:tblCellMar>
            <w:top w:w="0" w:type="dxa"/>
            <w:left w:w="108" w:type="dxa"/>
            <w:bottom w:w="0" w:type="dxa"/>
            <w:right w:w="108" w:type="dxa"/>
          </w:tblCellMar>
        </w:tblPrEx>
        <w:trPr>
          <w:trHeight w:val="580" w:hRule="atLeast"/>
        </w:trPr>
        <w:tc>
          <w:tcPr>
            <w:tcW w:w="9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adjustRightInd w:val="0"/>
              <w:spacing w:line="400" w:lineRule="exact"/>
              <w:jc w:val="center"/>
              <w:rPr>
                <w:rFonts w:hint="eastAsia" w:ascii="方正仿宋_GBK" w:hAnsi="宋体" w:eastAsia="方正仿宋_GBK" w:cs="宋体"/>
                <w:color w:val="000000"/>
                <w:sz w:val="24"/>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满意度指标</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受群众满意</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100%</w:t>
            </w:r>
          </w:p>
        </w:tc>
        <w:tc>
          <w:tcPr>
            <w:tcW w:w="10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100%</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15</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15</w:t>
            </w:r>
          </w:p>
        </w:tc>
      </w:tr>
      <w:tr>
        <w:tblPrEx>
          <w:tblCellMar>
            <w:top w:w="0" w:type="dxa"/>
            <w:left w:w="108" w:type="dxa"/>
            <w:bottom w:w="0" w:type="dxa"/>
            <w:right w:w="108" w:type="dxa"/>
          </w:tblCellMar>
        </w:tblPrEx>
        <w:trPr>
          <w:trHeight w:val="860"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说明</w:t>
            </w:r>
          </w:p>
        </w:tc>
        <w:tc>
          <w:tcPr>
            <w:tcW w:w="918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pacing w:line="400" w:lineRule="exact"/>
              <w:jc w:val="center"/>
              <w:rPr>
                <w:rFonts w:hint="eastAsia" w:ascii="方正仿宋_GBK" w:hAnsi="宋体" w:eastAsia="方正仿宋_GBK" w:cs="宋体"/>
                <w:color w:val="000000"/>
                <w:sz w:val="24"/>
              </w:rPr>
            </w:pPr>
          </w:p>
        </w:tc>
      </w:tr>
      <w:tr>
        <w:tblPrEx>
          <w:tblCellMar>
            <w:top w:w="0" w:type="dxa"/>
            <w:left w:w="108" w:type="dxa"/>
            <w:bottom w:w="0" w:type="dxa"/>
            <w:right w:w="108" w:type="dxa"/>
          </w:tblCellMar>
        </w:tblPrEx>
        <w:trPr>
          <w:trHeight w:val="585" w:hRule="atLeast"/>
        </w:trPr>
        <w:tc>
          <w:tcPr>
            <w:tcW w:w="10116" w:type="dxa"/>
            <w:gridSpan w:val="13"/>
            <w:tcBorders>
              <w:top w:val="nil"/>
              <w:left w:val="nil"/>
              <w:bottom w:val="nil"/>
              <w:right w:val="nil"/>
            </w:tcBorders>
            <w:shd w:val="clear" w:color="auto" w:fill="auto"/>
            <w:vAlign w:val="center"/>
          </w:tcPr>
          <w:p>
            <w:pPr>
              <w:widowControl/>
              <w:adjustRightInd w:val="0"/>
              <w:jc w:val="center"/>
              <w:textAlignment w:val="center"/>
              <w:rPr>
                <w:rFonts w:hint="eastAsia" w:ascii="方正黑体_GBK" w:hAnsi="宋体" w:eastAsia="方正黑体_GBK" w:cs="宋体"/>
                <w:bCs/>
                <w:color w:val="000000"/>
                <w:sz w:val="32"/>
                <w:szCs w:val="32"/>
              </w:rPr>
            </w:pPr>
            <w:r>
              <w:rPr>
                <w:rFonts w:hint="eastAsia" w:ascii="方正黑体_GBK" w:hAnsi="宋体" w:eastAsia="方正黑体_GBK" w:cs="宋体"/>
                <w:bCs/>
                <w:color w:val="000000"/>
                <w:kern w:val="0"/>
                <w:sz w:val="32"/>
                <w:szCs w:val="32"/>
                <w:lang w:bidi="ar"/>
              </w:rPr>
              <w:t>社会保障类项目资金绩效目标自评表</w:t>
            </w:r>
          </w:p>
        </w:tc>
      </w:tr>
      <w:tr>
        <w:tblPrEx>
          <w:tblCellMar>
            <w:top w:w="0" w:type="dxa"/>
            <w:left w:w="108" w:type="dxa"/>
            <w:bottom w:w="0" w:type="dxa"/>
            <w:right w:w="108" w:type="dxa"/>
          </w:tblCellMar>
        </w:tblPrEx>
        <w:trPr>
          <w:trHeight w:val="587"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8"/>
                <w:szCs w:val="28"/>
              </w:rPr>
            </w:pPr>
            <w:r>
              <w:rPr>
                <w:rFonts w:hint="eastAsia" w:ascii="方正仿宋_GBK" w:hAnsi="宋体" w:eastAsia="方正仿宋_GBK" w:cs="宋体"/>
                <w:color w:val="000000"/>
                <w:kern w:val="0"/>
                <w:sz w:val="28"/>
                <w:szCs w:val="28"/>
                <w:lang w:bidi="ar"/>
              </w:rPr>
              <w:t>转移支付名称</w:t>
            </w:r>
          </w:p>
        </w:tc>
        <w:tc>
          <w:tcPr>
            <w:tcW w:w="51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8"/>
                <w:szCs w:val="28"/>
              </w:rPr>
            </w:pPr>
            <w:r>
              <w:rPr>
                <w:rFonts w:hint="eastAsia" w:ascii="方正仿宋_GBK" w:hAnsi="宋体" w:eastAsia="方正仿宋_GBK" w:cs="宋体"/>
                <w:color w:val="000000"/>
                <w:kern w:val="0"/>
                <w:sz w:val="28"/>
                <w:szCs w:val="28"/>
                <w:lang w:bidi="ar"/>
              </w:rPr>
              <w:t>社会保障类经费</w:t>
            </w:r>
          </w:p>
        </w:tc>
        <w:tc>
          <w:tcPr>
            <w:tcW w:w="1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8"/>
                <w:szCs w:val="28"/>
              </w:rPr>
            </w:pPr>
            <w:r>
              <w:rPr>
                <w:rFonts w:hint="eastAsia" w:ascii="方正仿宋_GBK" w:hAnsi="宋体" w:eastAsia="方正仿宋_GBK" w:cs="宋体"/>
                <w:color w:val="000000"/>
                <w:kern w:val="0"/>
                <w:sz w:val="28"/>
                <w:szCs w:val="28"/>
                <w:lang w:bidi="ar"/>
              </w:rPr>
              <w:t>自评总分（分)</w:t>
            </w:r>
          </w:p>
        </w:tc>
        <w:tc>
          <w:tcPr>
            <w:tcW w:w="30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8"/>
                <w:szCs w:val="28"/>
              </w:rPr>
            </w:pPr>
            <w:r>
              <w:rPr>
                <w:rFonts w:hint="eastAsia" w:ascii="方正仿宋_GBK" w:hAnsi="宋体" w:eastAsia="方正仿宋_GBK" w:cs="宋体"/>
                <w:color w:val="000000"/>
                <w:kern w:val="0"/>
                <w:sz w:val="28"/>
                <w:szCs w:val="28"/>
                <w:lang w:bidi="ar"/>
              </w:rPr>
              <w:t>100</w:t>
            </w:r>
          </w:p>
        </w:tc>
      </w:tr>
      <w:tr>
        <w:tblPrEx>
          <w:tblCellMar>
            <w:top w:w="0" w:type="dxa"/>
            <w:left w:w="108" w:type="dxa"/>
            <w:bottom w:w="0" w:type="dxa"/>
            <w:right w:w="108" w:type="dxa"/>
          </w:tblCellMar>
        </w:tblPrEx>
        <w:trPr>
          <w:trHeight w:val="563"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8"/>
                <w:szCs w:val="28"/>
              </w:rPr>
            </w:pPr>
            <w:r>
              <w:rPr>
                <w:rFonts w:hint="eastAsia" w:ascii="方正仿宋_GBK" w:hAnsi="宋体" w:eastAsia="方正仿宋_GBK" w:cs="宋体"/>
                <w:color w:val="000000"/>
                <w:kern w:val="0"/>
                <w:sz w:val="28"/>
                <w:szCs w:val="28"/>
                <w:lang w:bidi="ar"/>
              </w:rPr>
              <w:t>业务主管部门</w:t>
            </w:r>
          </w:p>
        </w:tc>
        <w:tc>
          <w:tcPr>
            <w:tcW w:w="51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8"/>
                <w:szCs w:val="28"/>
              </w:rPr>
            </w:pPr>
            <w:r>
              <w:rPr>
                <w:rFonts w:hint="eastAsia" w:ascii="方正仿宋_GBK" w:hAnsi="宋体" w:eastAsia="方正仿宋_GBK" w:cs="宋体"/>
                <w:color w:val="000000"/>
                <w:kern w:val="0"/>
                <w:sz w:val="28"/>
                <w:szCs w:val="28"/>
                <w:lang w:bidi="ar"/>
              </w:rPr>
              <w:t>重庆市梁平区蟠龙镇人民政府</w:t>
            </w:r>
          </w:p>
        </w:tc>
        <w:tc>
          <w:tcPr>
            <w:tcW w:w="1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8"/>
                <w:szCs w:val="28"/>
              </w:rPr>
            </w:pPr>
            <w:r>
              <w:rPr>
                <w:rFonts w:hint="eastAsia" w:ascii="方正仿宋_GBK" w:hAnsi="宋体" w:eastAsia="方正仿宋_GBK" w:cs="宋体"/>
                <w:color w:val="000000"/>
                <w:kern w:val="0"/>
                <w:sz w:val="28"/>
                <w:szCs w:val="28"/>
                <w:lang w:bidi="ar"/>
              </w:rPr>
              <w:t>联系人</w:t>
            </w:r>
            <w:r>
              <w:rPr>
                <w:rFonts w:hint="eastAsia" w:ascii="方正仿宋_GBK" w:hAnsi="宋体" w:eastAsia="方正仿宋_GBK" w:cs="宋体"/>
                <w:color w:val="000000"/>
                <w:kern w:val="0"/>
                <w:sz w:val="28"/>
                <w:szCs w:val="28"/>
                <w:lang w:bidi="ar"/>
              </w:rPr>
              <w:br w:type="textWrapping"/>
            </w:r>
            <w:r>
              <w:rPr>
                <w:rFonts w:hint="eastAsia" w:ascii="方正仿宋_GBK" w:hAnsi="宋体" w:eastAsia="方正仿宋_GBK" w:cs="宋体"/>
                <w:color w:val="000000"/>
                <w:kern w:val="0"/>
                <w:sz w:val="28"/>
                <w:szCs w:val="28"/>
                <w:lang w:bidi="ar"/>
              </w:rPr>
              <w:t>及电话</w:t>
            </w:r>
          </w:p>
        </w:tc>
        <w:tc>
          <w:tcPr>
            <w:tcW w:w="30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8"/>
                <w:szCs w:val="28"/>
              </w:rPr>
            </w:pPr>
            <w:r>
              <w:rPr>
                <w:rFonts w:hint="eastAsia" w:ascii="方正仿宋_GBK" w:hAnsi="宋体" w:eastAsia="方正仿宋_GBK" w:cs="宋体"/>
                <w:color w:val="000000"/>
                <w:kern w:val="0"/>
                <w:sz w:val="28"/>
                <w:szCs w:val="28"/>
                <w:lang w:bidi="ar"/>
              </w:rPr>
              <w:t>尹荣建13709451817</w:t>
            </w:r>
          </w:p>
        </w:tc>
      </w:tr>
      <w:tr>
        <w:tblPrEx>
          <w:tblCellMar>
            <w:top w:w="0" w:type="dxa"/>
            <w:left w:w="108" w:type="dxa"/>
            <w:bottom w:w="0" w:type="dxa"/>
            <w:right w:w="108" w:type="dxa"/>
          </w:tblCellMar>
        </w:tblPrEx>
        <w:trPr>
          <w:trHeight w:val="600" w:hRule="atLeast"/>
        </w:trPr>
        <w:tc>
          <w:tcPr>
            <w:tcW w:w="9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8"/>
                <w:szCs w:val="28"/>
              </w:rPr>
            </w:pPr>
            <w:r>
              <w:rPr>
                <w:rFonts w:hint="eastAsia" w:ascii="方正仿宋_GBK" w:hAnsi="宋体" w:eastAsia="方正仿宋_GBK" w:cs="宋体"/>
                <w:color w:val="000000"/>
                <w:kern w:val="0"/>
                <w:sz w:val="28"/>
                <w:szCs w:val="28"/>
                <w:lang w:bidi="ar"/>
              </w:rPr>
              <w:t>项目资金（万元）</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8"/>
                <w:szCs w:val="28"/>
              </w:rPr>
            </w:pPr>
            <w:r>
              <w:rPr>
                <w:rFonts w:hint="eastAsia" w:ascii="方正仿宋_GBK" w:hAnsi="宋体" w:eastAsia="方正仿宋_GBK" w:cs="宋体"/>
                <w:color w:val="000000"/>
                <w:kern w:val="0"/>
                <w:sz w:val="28"/>
                <w:szCs w:val="28"/>
                <w:lang w:bidi="ar"/>
              </w:rPr>
              <w:t>年初预算数</w:t>
            </w:r>
          </w:p>
        </w:tc>
        <w:tc>
          <w:tcPr>
            <w:tcW w:w="36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8"/>
                <w:szCs w:val="28"/>
              </w:rPr>
            </w:pPr>
            <w:r>
              <w:rPr>
                <w:rFonts w:hint="eastAsia" w:ascii="方正仿宋_GBK" w:hAnsi="宋体" w:eastAsia="方正仿宋_GBK" w:cs="宋体"/>
                <w:color w:val="000000"/>
                <w:kern w:val="0"/>
                <w:sz w:val="28"/>
                <w:szCs w:val="28"/>
                <w:lang w:bidi="ar"/>
              </w:rPr>
              <w:t>全年预算数</w:t>
            </w:r>
          </w:p>
        </w:tc>
        <w:tc>
          <w:tcPr>
            <w:tcW w:w="21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8"/>
                <w:szCs w:val="28"/>
              </w:rPr>
            </w:pPr>
            <w:r>
              <w:rPr>
                <w:rFonts w:hint="eastAsia" w:ascii="方正仿宋_GBK" w:hAnsi="宋体" w:eastAsia="方正仿宋_GBK" w:cs="宋体"/>
                <w:color w:val="000000"/>
                <w:kern w:val="0"/>
                <w:sz w:val="28"/>
                <w:szCs w:val="28"/>
                <w:lang w:bidi="ar"/>
              </w:rPr>
              <w:t>全年执行数</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8"/>
                <w:szCs w:val="28"/>
              </w:rPr>
            </w:pPr>
            <w:r>
              <w:rPr>
                <w:rFonts w:hint="eastAsia" w:ascii="方正仿宋_GBK" w:hAnsi="宋体" w:eastAsia="方正仿宋_GBK" w:cs="宋体"/>
                <w:color w:val="000000"/>
                <w:kern w:val="0"/>
                <w:sz w:val="28"/>
                <w:szCs w:val="28"/>
                <w:lang w:bidi="ar"/>
              </w:rPr>
              <w:t>执行率（%)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8"/>
                <w:szCs w:val="28"/>
              </w:rPr>
            </w:pPr>
            <w:r>
              <w:rPr>
                <w:rFonts w:hint="eastAsia" w:ascii="方正仿宋_GBK" w:hAnsi="宋体" w:eastAsia="方正仿宋_GBK" w:cs="宋体"/>
                <w:color w:val="000000"/>
                <w:kern w:val="0"/>
                <w:sz w:val="28"/>
                <w:szCs w:val="28"/>
                <w:lang w:bidi="ar"/>
              </w:rPr>
              <w:t>执行率得分（分)</w:t>
            </w:r>
          </w:p>
        </w:tc>
      </w:tr>
      <w:tr>
        <w:tblPrEx>
          <w:tblCellMar>
            <w:top w:w="0" w:type="dxa"/>
            <w:left w:w="108" w:type="dxa"/>
            <w:bottom w:w="0" w:type="dxa"/>
            <w:right w:w="108" w:type="dxa"/>
          </w:tblCellMar>
        </w:tblPrEx>
        <w:trPr>
          <w:trHeight w:val="540" w:hRule="atLeast"/>
        </w:trPr>
        <w:tc>
          <w:tcPr>
            <w:tcW w:w="9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pacing w:line="400" w:lineRule="exact"/>
              <w:jc w:val="center"/>
              <w:rPr>
                <w:rFonts w:hint="eastAsia" w:ascii="方正仿宋_GBK" w:hAnsi="宋体" w:eastAsia="方正仿宋_GBK" w:cs="宋体"/>
                <w:color w:val="000000"/>
                <w:sz w:val="28"/>
                <w:szCs w:val="28"/>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right"/>
              <w:textAlignment w:val="center"/>
              <w:rPr>
                <w:rFonts w:hint="eastAsia" w:ascii="方正仿宋_GBK" w:hAnsi="宋体" w:eastAsia="方正仿宋_GBK" w:cs="宋体"/>
                <w:color w:val="000000"/>
                <w:sz w:val="28"/>
                <w:szCs w:val="28"/>
              </w:rPr>
            </w:pPr>
            <w:r>
              <w:rPr>
                <w:rFonts w:hint="eastAsia" w:ascii="方正仿宋_GBK" w:hAnsi="宋体" w:eastAsia="方正仿宋_GBK" w:cs="宋体"/>
                <w:color w:val="000000"/>
                <w:kern w:val="0"/>
                <w:sz w:val="28"/>
                <w:szCs w:val="28"/>
                <w:lang w:bidi="ar"/>
              </w:rPr>
              <w:t>507.58</w:t>
            </w:r>
          </w:p>
        </w:tc>
        <w:tc>
          <w:tcPr>
            <w:tcW w:w="36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8"/>
                <w:szCs w:val="28"/>
              </w:rPr>
            </w:pPr>
            <w:r>
              <w:rPr>
                <w:rFonts w:hint="eastAsia" w:ascii="方正仿宋_GBK" w:hAnsi="宋体" w:eastAsia="方正仿宋_GBK" w:cs="宋体"/>
                <w:color w:val="000000"/>
                <w:kern w:val="0"/>
                <w:sz w:val="28"/>
                <w:szCs w:val="28"/>
                <w:lang w:bidi="ar"/>
              </w:rPr>
              <w:t>507.58</w:t>
            </w:r>
          </w:p>
        </w:tc>
        <w:tc>
          <w:tcPr>
            <w:tcW w:w="21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8"/>
                <w:szCs w:val="28"/>
              </w:rPr>
            </w:pPr>
            <w:r>
              <w:rPr>
                <w:rFonts w:hint="eastAsia" w:ascii="方正仿宋_GBK" w:hAnsi="宋体" w:eastAsia="方正仿宋_GBK" w:cs="宋体"/>
                <w:color w:val="000000"/>
                <w:kern w:val="0"/>
                <w:sz w:val="28"/>
                <w:szCs w:val="28"/>
                <w:lang w:bidi="ar"/>
              </w:rPr>
              <w:t>507.58</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8"/>
                <w:szCs w:val="28"/>
              </w:rPr>
            </w:pPr>
            <w:r>
              <w:rPr>
                <w:rFonts w:hint="eastAsia" w:ascii="方正仿宋_GBK" w:hAnsi="宋体" w:eastAsia="方正仿宋_GBK" w:cs="宋体"/>
                <w:color w:val="000000"/>
                <w:kern w:val="0"/>
                <w:sz w:val="28"/>
                <w:szCs w:val="28"/>
                <w:lang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8"/>
                <w:szCs w:val="28"/>
              </w:rPr>
            </w:pPr>
            <w:r>
              <w:rPr>
                <w:rFonts w:hint="eastAsia" w:ascii="方正仿宋_GBK" w:hAnsi="宋体" w:eastAsia="方正仿宋_GBK" w:cs="宋体"/>
                <w:color w:val="000000"/>
                <w:kern w:val="0"/>
                <w:sz w:val="28"/>
                <w:szCs w:val="28"/>
                <w:lang w:bidi="ar"/>
              </w:rPr>
              <w:t>10</w:t>
            </w:r>
          </w:p>
        </w:tc>
      </w:tr>
      <w:tr>
        <w:tblPrEx>
          <w:tblCellMar>
            <w:top w:w="0" w:type="dxa"/>
            <w:left w:w="108" w:type="dxa"/>
            <w:bottom w:w="0" w:type="dxa"/>
            <w:right w:w="108" w:type="dxa"/>
          </w:tblCellMar>
        </w:tblPrEx>
        <w:trPr>
          <w:trHeight w:val="500" w:hRule="atLeast"/>
        </w:trPr>
        <w:tc>
          <w:tcPr>
            <w:tcW w:w="9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8"/>
                <w:szCs w:val="28"/>
              </w:rPr>
            </w:pPr>
            <w:r>
              <w:rPr>
                <w:rFonts w:hint="eastAsia" w:ascii="方正仿宋_GBK" w:hAnsi="宋体" w:eastAsia="方正仿宋_GBK" w:cs="宋体"/>
                <w:color w:val="000000"/>
                <w:kern w:val="0"/>
                <w:sz w:val="28"/>
                <w:szCs w:val="28"/>
                <w:lang w:bidi="ar"/>
              </w:rPr>
              <w:t>年度总体目标</w:t>
            </w:r>
          </w:p>
        </w:tc>
        <w:tc>
          <w:tcPr>
            <w:tcW w:w="51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8"/>
                <w:szCs w:val="28"/>
              </w:rPr>
            </w:pPr>
            <w:r>
              <w:rPr>
                <w:rFonts w:hint="eastAsia" w:ascii="方正仿宋_GBK" w:hAnsi="宋体" w:eastAsia="方正仿宋_GBK" w:cs="宋体"/>
                <w:color w:val="000000"/>
                <w:kern w:val="0"/>
                <w:sz w:val="28"/>
                <w:szCs w:val="28"/>
                <w:lang w:bidi="ar"/>
              </w:rPr>
              <w:t>年初设定目标</w:t>
            </w:r>
          </w:p>
        </w:tc>
        <w:tc>
          <w:tcPr>
            <w:tcW w:w="405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8"/>
                <w:szCs w:val="28"/>
              </w:rPr>
            </w:pPr>
            <w:r>
              <w:rPr>
                <w:rFonts w:hint="eastAsia" w:ascii="方正仿宋_GBK" w:hAnsi="宋体" w:eastAsia="方正仿宋_GBK" w:cs="宋体"/>
                <w:color w:val="000000"/>
                <w:kern w:val="0"/>
                <w:sz w:val="28"/>
                <w:szCs w:val="28"/>
                <w:lang w:bidi="ar"/>
              </w:rPr>
              <w:t>全年目标实际完成情况</w:t>
            </w:r>
          </w:p>
        </w:tc>
      </w:tr>
      <w:tr>
        <w:tblPrEx>
          <w:tblCellMar>
            <w:top w:w="0" w:type="dxa"/>
            <w:left w:w="108" w:type="dxa"/>
            <w:bottom w:w="0" w:type="dxa"/>
            <w:right w:w="108" w:type="dxa"/>
          </w:tblCellMar>
        </w:tblPrEx>
        <w:trPr>
          <w:trHeight w:val="2900" w:hRule="atLeast"/>
        </w:trPr>
        <w:tc>
          <w:tcPr>
            <w:tcW w:w="9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pacing w:line="400" w:lineRule="exact"/>
              <w:jc w:val="center"/>
              <w:rPr>
                <w:rFonts w:hint="eastAsia" w:ascii="方正仿宋_GBK" w:hAnsi="宋体" w:eastAsia="方正仿宋_GBK" w:cs="宋体"/>
                <w:color w:val="000000"/>
                <w:sz w:val="28"/>
                <w:szCs w:val="28"/>
              </w:rPr>
            </w:pPr>
          </w:p>
        </w:tc>
        <w:tc>
          <w:tcPr>
            <w:tcW w:w="51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8"/>
                <w:szCs w:val="28"/>
              </w:rPr>
            </w:pPr>
            <w:r>
              <w:rPr>
                <w:rFonts w:hint="eastAsia" w:ascii="方正仿宋_GBK" w:hAnsi="宋体" w:eastAsia="方正仿宋_GBK" w:cs="宋体"/>
                <w:color w:val="000000"/>
                <w:kern w:val="0"/>
                <w:sz w:val="28"/>
                <w:szCs w:val="28"/>
                <w:lang w:bidi="ar"/>
              </w:rPr>
              <w:t>投入资金87.49万元、村社区镇机关公益</w:t>
            </w:r>
            <w:r>
              <w:rPr>
                <w:rFonts w:hint="eastAsia" w:ascii="方正仿宋_GBK" w:hAnsi="宋体" w:eastAsia="方正仿宋_GBK" w:cs="宋体"/>
                <w:color w:val="000000"/>
                <w:kern w:val="0"/>
                <w:sz w:val="28"/>
                <w:szCs w:val="28"/>
                <w:lang w:eastAsia="zh-CN" w:bidi="ar"/>
              </w:rPr>
              <w:t>性</w:t>
            </w:r>
            <w:r>
              <w:rPr>
                <w:rFonts w:hint="eastAsia" w:ascii="方正仿宋_GBK" w:hAnsi="宋体" w:eastAsia="方正仿宋_GBK" w:cs="宋体"/>
                <w:color w:val="000000"/>
                <w:kern w:val="0"/>
                <w:sz w:val="28"/>
                <w:szCs w:val="28"/>
                <w:lang w:bidi="ar"/>
              </w:rPr>
              <w:t>岗位人员67人；250.5万元、村社区村组干部工资、办公费、五险一金的补助场；46.5万元、村两级基层政权组织建设费；25.64万元、退休干部死亡一次性抚恤；16.95万元、农村困难户慰问费、五保人员经费；11.38万元、非农户居民五困难户慰问费、五保人员经费；3.42万元、残疾人用电补助、志愿者补助、生活补助；3.12万元、独生子女及困难户慰问费；13.61万元、高龄补贴费、其他困难人员慰问费；5万元、洪灾倒房重建自然灾害灾补助；5.6万元、地方财政资金冬荒春饿自然灾害生活补助；6.4万元、中央资金冬荒春饿自然灾害生活补助；0.01万元、困难群众住房租金补贴；0.5万元、防汛抗旱购物质经费；</w:t>
            </w:r>
            <w:r>
              <w:rPr>
                <w:rFonts w:hint="eastAsia" w:ascii="方正仿宋_GBK" w:hAnsi="宋体" w:eastAsia="方正仿宋_GBK" w:cs="宋体"/>
                <w:color w:val="000000"/>
                <w:kern w:val="0"/>
                <w:sz w:val="28"/>
                <w:szCs w:val="28"/>
                <w:lang w:eastAsia="zh-CN" w:bidi="ar"/>
              </w:rPr>
              <w:t>“三支一扶”</w:t>
            </w:r>
            <w:r>
              <w:rPr>
                <w:rFonts w:hint="eastAsia" w:ascii="方正仿宋_GBK" w:hAnsi="宋体" w:eastAsia="方正仿宋_GBK" w:cs="宋体"/>
                <w:color w:val="000000"/>
                <w:kern w:val="0"/>
                <w:sz w:val="28"/>
                <w:szCs w:val="28"/>
                <w:lang w:bidi="ar"/>
              </w:rPr>
              <w:t>、选调生、村官人员经费31.46万元。</w:t>
            </w:r>
          </w:p>
        </w:tc>
        <w:tc>
          <w:tcPr>
            <w:tcW w:w="405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textAlignment w:val="center"/>
              <w:rPr>
                <w:rFonts w:hint="eastAsia" w:ascii="方正仿宋_GBK" w:hAnsi="宋体" w:eastAsia="方正仿宋_GBK" w:cs="宋体"/>
                <w:color w:val="000000"/>
                <w:sz w:val="28"/>
                <w:szCs w:val="28"/>
              </w:rPr>
            </w:pPr>
            <w:r>
              <w:rPr>
                <w:rFonts w:hint="eastAsia" w:ascii="方正仿宋_GBK" w:hAnsi="宋体" w:eastAsia="方正仿宋_GBK" w:cs="宋体"/>
                <w:color w:val="000000"/>
                <w:kern w:val="0"/>
                <w:sz w:val="28"/>
                <w:szCs w:val="28"/>
                <w:lang w:bidi="ar"/>
              </w:rPr>
              <w:t>投入资金87.49万元、村社区镇机关公益</w:t>
            </w:r>
            <w:r>
              <w:rPr>
                <w:rFonts w:hint="eastAsia" w:ascii="方正仿宋_GBK" w:hAnsi="宋体" w:eastAsia="方正仿宋_GBK" w:cs="宋体"/>
                <w:color w:val="000000"/>
                <w:kern w:val="0"/>
                <w:sz w:val="28"/>
                <w:szCs w:val="28"/>
                <w:lang w:eastAsia="zh-CN" w:bidi="ar"/>
              </w:rPr>
              <w:t>性</w:t>
            </w:r>
            <w:r>
              <w:rPr>
                <w:rFonts w:hint="eastAsia" w:ascii="方正仿宋_GBK" w:hAnsi="宋体" w:eastAsia="方正仿宋_GBK" w:cs="宋体"/>
                <w:color w:val="000000"/>
                <w:kern w:val="0"/>
                <w:sz w:val="28"/>
                <w:szCs w:val="28"/>
                <w:lang w:bidi="ar"/>
              </w:rPr>
              <w:t>岗位人员67人；250.5万元、村社区村组干部工资、办公费、五险一金的补助场；46.5万元、村两级基层政权组织建设费；25.64万元、退休干部死亡一次性抚恤；16.95万元、农村困难户慰问费、五保人员经费；11.38万元、非农户居民五困难户慰问费、五保人员经费；3.42万元、残疾人用电补助、志愿者补助、生活补助；3.12万元、独生子女及困难户慰问费；13.61万元、高龄补贴费、其他困难人员慰问费；5万元、洪灾倒房重建自然灾害灾补助；5.6万元、地方财政资金冬荒春饿自然灾害生活补助；6.4万元、中央资金冬荒春饿自然灾害生活补助；0.01万元、困难群众住房租金补贴；0.5万元、防汛抗旱购物质经费；</w:t>
            </w:r>
            <w:r>
              <w:rPr>
                <w:rFonts w:hint="eastAsia" w:ascii="方正仿宋_GBK" w:hAnsi="宋体" w:eastAsia="方正仿宋_GBK" w:cs="宋体"/>
                <w:color w:val="000000"/>
                <w:kern w:val="0"/>
                <w:sz w:val="28"/>
                <w:szCs w:val="28"/>
                <w:lang w:eastAsia="zh-CN" w:bidi="ar"/>
              </w:rPr>
              <w:t>“三支一扶”</w:t>
            </w:r>
            <w:r>
              <w:rPr>
                <w:rFonts w:hint="eastAsia" w:ascii="方正仿宋_GBK" w:hAnsi="宋体" w:eastAsia="方正仿宋_GBK" w:cs="宋体"/>
                <w:color w:val="000000"/>
                <w:kern w:val="0"/>
                <w:sz w:val="28"/>
                <w:szCs w:val="28"/>
                <w:lang w:bidi="ar"/>
              </w:rPr>
              <w:t>、选调生、村官人员经费31.46万元。</w:t>
            </w:r>
          </w:p>
        </w:tc>
      </w:tr>
      <w:tr>
        <w:tblPrEx>
          <w:tblCellMar>
            <w:top w:w="0" w:type="dxa"/>
            <w:left w:w="108" w:type="dxa"/>
            <w:bottom w:w="0" w:type="dxa"/>
            <w:right w:w="108" w:type="dxa"/>
          </w:tblCellMar>
        </w:tblPrEx>
        <w:trPr>
          <w:trHeight w:val="645" w:hRule="atLeast"/>
        </w:trPr>
        <w:tc>
          <w:tcPr>
            <w:tcW w:w="931"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adjustRightInd w:val="0"/>
              <w:spacing w:line="400" w:lineRule="exact"/>
              <w:jc w:val="center"/>
              <w:textAlignment w:val="center"/>
              <w:rPr>
                <w:rFonts w:hint="eastAsia" w:ascii="方正仿宋_GBK" w:hAnsi="宋体" w:eastAsia="方正仿宋_GBK" w:cs="宋体"/>
                <w:color w:val="000000"/>
                <w:sz w:val="28"/>
                <w:szCs w:val="28"/>
              </w:rPr>
            </w:pPr>
            <w:r>
              <w:rPr>
                <w:rFonts w:hint="eastAsia" w:ascii="方正仿宋_GBK" w:hAnsi="宋体" w:eastAsia="方正仿宋_GBK" w:cs="宋体"/>
                <w:color w:val="000000"/>
                <w:kern w:val="0"/>
                <w:sz w:val="28"/>
                <w:szCs w:val="28"/>
                <w:lang w:bidi="ar"/>
              </w:rPr>
              <w:t>绩效指标</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8"/>
                <w:szCs w:val="28"/>
              </w:rPr>
            </w:pPr>
            <w:r>
              <w:rPr>
                <w:rFonts w:hint="eastAsia" w:ascii="方正仿宋_GBK" w:hAnsi="宋体" w:eastAsia="方正仿宋_GBK" w:cs="宋体"/>
                <w:color w:val="000000"/>
                <w:kern w:val="0"/>
                <w:sz w:val="28"/>
                <w:szCs w:val="28"/>
                <w:lang w:bidi="ar"/>
              </w:rPr>
              <w:t>指标名称</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pacing w:line="400" w:lineRule="exact"/>
              <w:jc w:val="center"/>
              <w:textAlignment w:val="center"/>
              <w:rPr>
                <w:rFonts w:hint="eastAsia" w:ascii="方正仿宋_GBK" w:hAnsi="宋体" w:eastAsia="方正仿宋_GBK" w:cs="宋体"/>
                <w:color w:val="000000"/>
                <w:sz w:val="28"/>
                <w:szCs w:val="28"/>
              </w:rPr>
            </w:pPr>
            <w:r>
              <w:rPr>
                <w:rFonts w:hint="eastAsia" w:ascii="方正仿宋_GBK" w:hAnsi="宋体" w:eastAsia="方正仿宋_GBK" w:cs="宋体"/>
                <w:color w:val="000000"/>
                <w:kern w:val="0"/>
                <w:sz w:val="28"/>
                <w:szCs w:val="28"/>
                <w:lang w:bidi="ar"/>
              </w:rPr>
              <w:t>计量单位</w:t>
            </w:r>
          </w:p>
        </w:tc>
        <w:tc>
          <w:tcPr>
            <w:tcW w:w="28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8"/>
                <w:szCs w:val="28"/>
              </w:rPr>
            </w:pPr>
            <w:r>
              <w:rPr>
                <w:rFonts w:hint="eastAsia" w:ascii="方正仿宋_GBK" w:hAnsi="宋体" w:eastAsia="方正仿宋_GBK" w:cs="宋体"/>
                <w:color w:val="000000"/>
                <w:kern w:val="0"/>
                <w:sz w:val="28"/>
                <w:szCs w:val="28"/>
                <w:lang w:bidi="ar"/>
              </w:rPr>
              <w:t>年度指标值</w:t>
            </w:r>
          </w:p>
        </w:tc>
        <w:tc>
          <w:tcPr>
            <w:tcW w:w="1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8"/>
                <w:szCs w:val="28"/>
              </w:rPr>
            </w:pPr>
            <w:r>
              <w:rPr>
                <w:rFonts w:hint="eastAsia" w:ascii="方正仿宋_GBK" w:hAnsi="宋体" w:eastAsia="方正仿宋_GBK" w:cs="宋体"/>
                <w:color w:val="000000"/>
                <w:kern w:val="0"/>
                <w:sz w:val="28"/>
                <w:szCs w:val="28"/>
                <w:lang w:bidi="ar"/>
              </w:rPr>
              <w:t>全年完成值</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8"/>
                <w:szCs w:val="28"/>
              </w:rPr>
            </w:pPr>
            <w:r>
              <w:rPr>
                <w:rFonts w:hint="eastAsia" w:ascii="方正仿宋_GBK" w:hAnsi="宋体" w:eastAsia="方正仿宋_GBK" w:cs="宋体"/>
                <w:color w:val="000000"/>
                <w:kern w:val="0"/>
                <w:sz w:val="28"/>
                <w:szCs w:val="28"/>
                <w:lang w:bidi="ar"/>
              </w:rPr>
              <w:t>得分系数</w:t>
            </w:r>
            <w:r>
              <w:rPr>
                <w:rFonts w:hint="eastAsia" w:ascii="方正仿宋_GBK" w:hAnsi="宋体" w:eastAsia="方正仿宋_GBK" w:cs="宋体"/>
                <w:color w:val="000000"/>
                <w:kern w:val="0"/>
                <w:sz w:val="28"/>
                <w:szCs w:val="28"/>
                <w:lang w:bidi="ar"/>
              </w:rPr>
              <w:br w:type="textWrapping"/>
            </w:r>
            <w:r>
              <w:rPr>
                <w:rFonts w:hint="eastAsia" w:ascii="方正仿宋_GBK" w:hAnsi="宋体" w:eastAsia="方正仿宋_GBK" w:cs="宋体"/>
                <w:color w:val="000000"/>
                <w:kern w:val="0"/>
                <w:sz w:val="28"/>
                <w:szCs w:val="28"/>
                <w:lang w:bidi="ar"/>
              </w:rPr>
              <w:t>（%)</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8"/>
                <w:szCs w:val="28"/>
              </w:rPr>
            </w:pPr>
            <w:r>
              <w:rPr>
                <w:rFonts w:hint="eastAsia" w:ascii="方正仿宋_GBK" w:hAnsi="宋体" w:eastAsia="方正仿宋_GBK" w:cs="宋体"/>
                <w:color w:val="000000"/>
                <w:kern w:val="0"/>
                <w:sz w:val="28"/>
                <w:szCs w:val="28"/>
                <w:lang w:bidi="ar"/>
              </w:rPr>
              <w:t>权重</w:t>
            </w:r>
            <w:r>
              <w:rPr>
                <w:rFonts w:hint="eastAsia" w:ascii="方正仿宋_GBK" w:hAnsi="宋体" w:eastAsia="方正仿宋_GBK" w:cs="宋体"/>
                <w:color w:val="000000"/>
                <w:kern w:val="0"/>
                <w:sz w:val="28"/>
                <w:szCs w:val="28"/>
                <w:lang w:bidi="ar"/>
              </w:rPr>
              <w:br w:type="textWrapping"/>
            </w:r>
            <w:r>
              <w:rPr>
                <w:rFonts w:hint="eastAsia" w:ascii="方正仿宋_GBK" w:hAnsi="宋体" w:eastAsia="方正仿宋_GBK" w:cs="宋体"/>
                <w:color w:val="000000"/>
                <w:kern w:val="0"/>
                <w:sz w:val="28"/>
                <w:szCs w:val="28"/>
                <w:lang w:bidi="ar"/>
              </w:rPr>
              <w:t>（分)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8"/>
                <w:szCs w:val="28"/>
              </w:rPr>
            </w:pPr>
            <w:r>
              <w:rPr>
                <w:rFonts w:hint="eastAsia" w:ascii="方正仿宋_GBK" w:hAnsi="宋体" w:eastAsia="方正仿宋_GBK" w:cs="宋体"/>
                <w:color w:val="000000"/>
                <w:kern w:val="0"/>
                <w:sz w:val="28"/>
                <w:szCs w:val="28"/>
                <w:lang w:bidi="ar"/>
              </w:rPr>
              <w:t>指标得分</w:t>
            </w:r>
            <w:r>
              <w:rPr>
                <w:rFonts w:hint="eastAsia" w:ascii="方正仿宋_GBK" w:hAnsi="宋体" w:eastAsia="方正仿宋_GBK" w:cs="宋体"/>
                <w:color w:val="000000"/>
                <w:kern w:val="0"/>
                <w:sz w:val="28"/>
                <w:szCs w:val="28"/>
                <w:lang w:bidi="ar"/>
              </w:rPr>
              <w:br w:type="textWrapping"/>
            </w:r>
            <w:r>
              <w:rPr>
                <w:rFonts w:hint="eastAsia" w:ascii="方正仿宋_GBK" w:hAnsi="宋体" w:eastAsia="方正仿宋_GBK" w:cs="宋体"/>
                <w:color w:val="000000"/>
                <w:kern w:val="0"/>
                <w:sz w:val="28"/>
                <w:szCs w:val="28"/>
                <w:lang w:bidi="ar"/>
              </w:rPr>
              <w:t>（分)</w:t>
            </w:r>
          </w:p>
        </w:tc>
      </w:tr>
      <w:tr>
        <w:tblPrEx>
          <w:tblCellMar>
            <w:top w:w="0" w:type="dxa"/>
            <w:left w:w="108" w:type="dxa"/>
            <w:bottom w:w="0" w:type="dxa"/>
            <w:right w:w="108" w:type="dxa"/>
          </w:tblCellMar>
        </w:tblPrEx>
        <w:trPr>
          <w:trHeight w:val="842" w:hRule="atLeast"/>
        </w:trPr>
        <w:tc>
          <w:tcPr>
            <w:tcW w:w="9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adjustRightInd w:val="0"/>
              <w:spacing w:line="400" w:lineRule="exact"/>
              <w:jc w:val="center"/>
              <w:rPr>
                <w:rFonts w:hint="eastAsia" w:ascii="方正仿宋_GBK" w:hAnsi="宋体" w:eastAsia="方正仿宋_GBK" w:cs="宋体"/>
                <w:color w:val="000000"/>
                <w:sz w:val="28"/>
                <w:szCs w:val="28"/>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8"/>
                <w:szCs w:val="28"/>
              </w:rPr>
            </w:pPr>
            <w:r>
              <w:rPr>
                <w:rFonts w:hint="eastAsia" w:ascii="方正仿宋_GBK" w:hAnsi="宋体" w:eastAsia="方正仿宋_GBK" w:cs="宋体"/>
                <w:color w:val="000000"/>
                <w:kern w:val="0"/>
                <w:sz w:val="28"/>
                <w:szCs w:val="28"/>
                <w:lang w:bidi="ar"/>
              </w:rPr>
              <w:t>产出质量指标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8"/>
                <w:szCs w:val="28"/>
              </w:rPr>
            </w:pPr>
            <w:r>
              <w:rPr>
                <w:rFonts w:hint="eastAsia" w:ascii="方正仿宋_GBK" w:hAnsi="宋体" w:eastAsia="方正仿宋_GBK" w:cs="宋体"/>
                <w:color w:val="000000"/>
                <w:kern w:val="0"/>
                <w:sz w:val="28"/>
                <w:szCs w:val="28"/>
                <w:lang w:bidi="ar"/>
              </w:rPr>
              <w:t>%</w:t>
            </w:r>
          </w:p>
        </w:tc>
        <w:tc>
          <w:tcPr>
            <w:tcW w:w="28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8"/>
                <w:szCs w:val="28"/>
              </w:rPr>
            </w:pPr>
            <w:r>
              <w:rPr>
                <w:rFonts w:hint="eastAsia" w:ascii="方正仿宋_GBK" w:hAnsi="宋体" w:eastAsia="方正仿宋_GBK" w:cs="宋体"/>
                <w:color w:val="000000"/>
                <w:kern w:val="0"/>
                <w:sz w:val="28"/>
                <w:szCs w:val="28"/>
                <w:lang w:bidi="ar"/>
              </w:rPr>
              <w:t>村社区镇机关公益</w:t>
            </w:r>
            <w:r>
              <w:rPr>
                <w:rFonts w:hint="eastAsia" w:ascii="方正仿宋_GBK" w:hAnsi="宋体" w:eastAsia="方正仿宋_GBK" w:cs="宋体"/>
                <w:color w:val="000000"/>
                <w:kern w:val="0"/>
                <w:sz w:val="28"/>
                <w:szCs w:val="28"/>
                <w:lang w:eastAsia="zh-CN" w:bidi="ar"/>
              </w:rPr>
              <w:t>性</w:t>
            </w:r>
            <w:r>
              <w:rPr>
                <w:rFonts w:hint="eastAsia" w:ascii="方正仿宋_GBK" w:hAnsi="宋体" w:eastAsia="方正仿宋_GBK" w:cs="宋体"/>
                <w:color w:val="000000"/>
                <w:kern w:val="0"/>
                <w:sz w:val="28"/>
                <w:szCs w:val="28"/>
                <w:lang w:bidi="ar"/>
              </w:rPr>
              <w:t>岗位人员、村社区村组干部、五保人员、残疾人、独生子女及困难户慰问费、高龄补贴、自然灾害灾补助、防汛抗旱购物质、</w:t>
            </w:r>
            <w:r>
              <w:rPr>
                <w:rFonts w:hint="eastAsia" w:ascii="方正仿宋_GBK" w:hAnsi="宋体" w:eastAsia="方正仿宋_GBK" w:cs="宋体"/>
                <w:color w:val="000000"/>
                <w:kern w:val="0"/>
                <w:sz w:val="28"/>
                <w:szCs w:val="28"/>
                <w:lang w:eastAsia="zh-CN" w:bidi="ar"/>
              </w:rPr>
              <w:t>“三支一扶”</w:t>
            </w:r>
            <w:r>
              <w:rPr>
                <w:rFonts w:hint="eastAsia" w:ascii="方正仿宋_GBK" w:hAnsi="宋体" w:eastAsia="方正仿宋_GBK" w:cs="宋体"/>
                <w:color w:val="000000"/>
                <w:kern w:val="0"/>
                <w:sz w:val="28"/>
                <w:szCs w:val="28"/>
                <w:lang w:bidi="ar"/>
              </w:rPr>
              <w:t>、选调生、村官人员经费、退休干部死亡一次性抚恤、困难群众住房租金。</w:t>
            </w:r>
          </w:p>
        </w:tc>
        <w:tc>
          <w:tcPr>
            <w:tcW w:w="1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8"/>
                <w:szCs w:val="28"/>
              </w:rPr>
            </w:pPr>
            <w:r>
              <w:rPr>
                <w:rFonts w:hint="eastAsia" w:ascii="方正仿宋_GBK" w:hAnsi="宋体" w:eastAsia="方正仿宋_GBK" w:cs="宋体"/>
                <w:color w:val="000000"/>
                <w:kern w:val="0"/>
                <w:sz w:val="28"/>
                <w:szCs w:val="28"/>
                <w:lang w:bidi="ar"/>
              </w:rPr>
              <w:t>100%</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8"/>
                <w:szCs w:val="28"/>
              </w:rPr>
            </w:pPr>
            <w:r>
              <w:rPr>
                <w:rFonts w:hint="eastAsia" w:ascii="方正仿宋_GBK" w:hAnsi="宋体" w:eastAsia="方正仿宋_GBK" w:cs="宋体"/>
                <w:color w:val="000000"/>
                <w:kern w:val="0"/>
                <w:sz w:val="28"/>
                <w:szCs w:val="28"/>
                <w:lang w:bidi="ar"/>
              </w:rPr>
              <w:t>100%</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8"/>
                <w:szCs w:val="28"/>
              </w:rPr>
            </w:pPr>
            <w:r>
              <w:rPr>
                <w:rFonts w:hint="eastAsia" w:ascii="方正仿宋_GBK" w:hAnsi="宋体" w:eastAsia="方正仿宋_GBK" w:cs="宋体"/>
                <w:color w:val="000000"/>
                <w:kern w:val="0"/>
                <w:sz w:val="28"/>
                <w:szCs w:val="28"/>
                <w:lang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8"/>
                <w:szCs w:val="28"/>
              </w:rPr>
            </w:pPr>
            <w:r>
              <w:rPr>
                <w:rFonts w:hint="eastAsia" w:ascii="方正仿宋_GBK" w:hAnsi="宋体" w:eastAsia="方正仿宋_GBK" w:cs="宋体"/>
                <w:color w:val="000000"/>
                <w:kern w:val="0"/>
                <w:sz w:val="28"/>
                <w:szCs w:val="28"/>
                <w:lang w:bidi="ar"/>
              </w:rPr>
              <w:t>15</w:t>
            </w:r>
          </w:p>
        </w:tc>
      </w:tr>
      <w:tr>
        <w:tblPrEx>
          <w:tblCellMar>
            <w:top w:w="0" w:type="dxa"/>
            <w:left w:w="108" w:type="dxa"/>
            <w:bottom w:w="0" w:type="dxa"/>
            <w:right w:w="108" w:type="dxa"/>
          </w:tblCellMar>
        </w:tblPrEx>
        <w:trPr>
          <w:trHeight w:val="352" w:hRule="atLeast"/>
        </w:trPr>
        <w:tc>
          <w:tcPr>
            <w:tcW w:w="9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adjustRightInd w:val="0"/>
              <w:spacing w:line="400" w:lineRule="exact"/>
              <w:jc w:val="center"/>
              <w:rPr>
                <w:rFonts w:hint="eastAsia" w:ascii="方正仿宋_GBK" w:hAnsi="宋体" w:eastAsia="方正仿宋_GBK" w:cs="宋体"/>
                <w:color w:val="000000"/>
                <w:sz w:val="28"/>
                <w:szCs w:val="28"/>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8"/>
                <w:szCs w:val="28"/>
              </w:rPr>
            </w:pPr>
            <w:r>
              <w:rPr>
                <w:rFonts w:hint="eastAsia" w:ascii="方正仿宋_GBK" w:hAnsi="宋体" w:eastAsia="方正仿宋_GBK" w:cs="宋体"/>
                <w:color w:val="000000"/>
                <w:kern w:val="0"/>
                <w:sz w:val="28"/>
                <w:szCs w:val="28"/>
                <w:lang w:bidi="ar"/>
              </w:rPr>
              <w:t>产出质量指标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8"/>
                <w:szCs w:val="28"/>
              </w:rPr>
            </w:pPr>
            <w:r>
              <w:rPr>
                <w:rFonts w:hint="eastAsia" w:ascii="方正仿宋_GBK" w:hAnsi="宋体" w:eastAsia="方正仿宋_GBK" w:cs="宋体"/>
                <w:color w:val="000000"/>
                <w:kern w:val="0"/>
                <w:sz w:val="28"/>
                <w:szCs w:val="28"/>
                <w:lang w:bidi="ar"/>
              </w:rPr>
              <w:t>%</w:t>
            </w:r>
          </w:p>
        </w:tc>
        <w:tc>
          <w:tcPr>
            <w:tcW w:w="28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8"/>
                <w:szCs w:val="28"/>
              </w:rPr>
            </w:pPr>
            <w:r>
              <w:rPr>
                <w:rFonts w:hint="eastAsia" w:ascii="方正仿宋_GBK" w:hAnsi="宋体" w:eastAsia="方正仿宋_GBK" w:cs="宋体"/>
                <w:color w:val="000000"/>
                <w:kern w:val="0"/>
                <w:sz w:val="28"/>
                <w:szCs w:val="28"/>
                <w:lang w:bidi="ar"/>
              </w:rPr>
              <w:t>项目启动全年完成</w:t>
            </w:r>
          </w:p>
        </w:tc>
        <w:tc>
          <w:tcPr>
            <w:tcW w:w="1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8"/>
                <w:szCs w:val="28"/>
              </w:rPr>
            </w:pPr>
            <w:r>
              <w:rPr>
                <w:rFonts w:hint="eastAsia" w:ascii="方正仿宋_GBK" w:hAnsi="宋体" w:eastAsia="方正仿宋_GBK" w:cs="宋体"/>
                <w:color w:val="000000"/>
                <w:kern w:val="0"/>
                <w:sz w:val="28"/>
                <w:szCs w:val="28"/>
                <w:lang w:bidi="ar"/>
              </w:rPr>
              <w:t>100%</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8"/>
                <w:szCs w:val="28"/>
              </w:rPr>
            </w:pPr>
            <w:r>
              <w:rPr>
                <w:rFonts w:hint="eastAsia" w:ascii="方正仿宋_GBK" w:hAnsi="宋体" w:eastAsia="方正仿宋_GBK" w:cs="宋体"/>
                <w:color w:val="000000"/>
                <w:kern w:val="0"/>
                <w:sz w:val="28"/>
                <w:szCs w:val="28"/>
                <w:lang w:bidi="ar"/>
              </w:rPr>
              <w:t>100%</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ind w:right="271"/>
              <w:jc w:val="right"/>
              <w:textAlignment w:val="center"/>
              <w:rPr>
                <w:rFonts w:hint="eastAsia" w:ascii="方正仿宋_GBK" w:hAnsi="宋体" w:eastAsia="方正仿宋_GBK" w:cs="宋体"/>
                <w:color w:val="000000"/>
                <w:sz w:val="28"/>
                <w:szCs w:val="28"/>
              </w:rPr>
            </w:pPr>
            <w:r>
              <w:rPr>
                <w:rFonts w:hint="eastAsia" w:ascii="方正仿宋_GBK" w:hAnsi="宋体" w:eastAsia="方正仿宋_GBK" w:cs="宋体"/>
                <w:color w:val="000000"/>
                <w:kern w:val="0"/>
                <w:sz w:val="28"/>
                <w:szCs w:val="28"/>
                <w:lang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8"/>
                <w:szCs w:val="28"/>
              </w:rPr>
            </w:pPr>
            <w:r>
              <w:rPr>
                <w:rFonts w:hint="eastAsia" w:ascii="方正仿宋_GBK" w:hAnsi="宋体" w:eastAsia="方正仿宋_GBK" w:cs="宋体"/>
                <w:color w:val="000000"/>
                <w:kern w:val="0"/>
                <w:sz w:val="28"/>
                <w:szCs w:val="28"/>
                <w:lang w:bidi="ar"/>
              </w:rPr>
              <w:t>15</w:t>
            </w:r>
          </w:p>
        </w:tc>
      </w:tr>
      <w:tr>
        <w:tblPrEx>
          <w:tblCellMar>
            <w:top w:w="0" w:type="dxa"/>
            <w:left w:w="108" w:type="dxa"/>
            <w:bottom w:w="0" w:type="dxa"/>
            <w:right w:w="108" w:type="dxa"/>
          </w:tblCellMar>
        </w:tblPrEx>
        <w:trPr>
          <w:trHeight w:val="316" w:hRule="atLeast"/>
        </w:trPr>
        <w:tc>
          <w:tcPr>
            <w:tcW w:w="9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adjustRightInd w:val="0"/>
              <w:spacing w:line="400" w:lineRule="exact"/>
              <w:jc w:val="center"/>
              <w:rPr>
                <w:rFonts w:hint="eastAsia" w:ascii="方正仿宋_GBK" w:hAnsi="宋体" w:eastAsia="方正仿宋_GBK" w:cs="宋体"/>
                <w:color w:val="000000"/>
                <w:sz w:val="28"/>
                <w:szCs w:val="28"/>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8"/>
                <w:szCs w:val="28"/>
              </w:rPr>
            </w:pPr>
            <w:r>
              <w:rPr>
                <w:rFonts w:hint="eastAsia" w:ascii="方正仿宋_GBK" w:hAnsi="宋体" w:eastAsia="方正仿宋_GBK" w:cs="宋体"/>
                <w:color w:val="000000"/>
                <w:kern w:val="0"/>
                <w:sz w:val="28"/>
                <w:szCs w:val="28"/>
                <w:lang w:bidi="ar"/>
              </w:rPr>
              <w:t>产出进度指标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8"/>
                <w:szCs w:val="28"/>
              </w:rPr>
            </w:pPr>
            <w:r>
              <w:rPr>
                <w:rFonts w:hint="eastAsia" w:ascii="方正仿宋_GBK" w:hAnsi="宋体" w:eastAsia="方正仿宋_GBK" w:cs="宋体"/>
                <w:color w:val="000000"/>
                <w:kern w:val="0"/>
                <w:sz w:val="28"/>
                <w:szCs w:val="28"/>
                <w:lang w:bidi="ar"/>
              </w:rPr>
              <w:t>%</w:t>
            </w:r>
          </w:p>
        </w:tc>
        <w:tc>
          <w:tcPr>
            <w:tcW w:w="28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8"/>
                <w:szCs w:val="28"/>
              </w:rPr>
            </w:pPr>
            <w:r>
              <w:rPr>
                <w:rFonts w:hint="eastAsia" w:ascii="方正仿宋_GBK" w:hAnsi="宋体" w:eastAsia="方正仿宋_GBK" w:cs="宋体"/>
                <w:color w:val="000000"/>
                <w:kern w:val="0"/>
                <w:sz w:val="28"/>
                <w:szCs w:val="28"/>
                <w:lang w:bidi="ar"/>
              </w:rPr>
              <w:t>项目启动全年完成</w:t>
            </w:r>
          </w:p>
        </w:tc>
        <w:tc>
          <w:tcPr>
            <w:tcW w:w="1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8"/>
                <w:szCs w:val="28"/>
              </w:rPr>
            </w:pPr>
            <w:r>
              <w:rPr>
                <w:rFonts w:hint="eastAsia" w:ascii="方正仿宋_GBK" w:hAnsi="宋体" w:eastAsia="方正仿宋_GBK" w:cs="宋体"/>
                <w:color w:val="000000"/>
                <w:kern w:val="0"/>
                <w:sz w:val="28"/>
                <w:szCs w:val="28"/>
                <w:lang w:bidi="ar"/>
              </w:rPr>
              <w:t>100%</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8"/>
                <w:szCs w:val="28"/>
              </w:rPr>
            </w:pPr>
            <w:r>
              <w:rPr>
                <w:rFonts w:hint="eastAsia" w:ascii="方正仿宋_GBK" w:hAnsi="宋体" w:eastAsia="方正仿宋_GBK" w:cs="宋体"/>
                <w:color w:val="000000"/>
                <w:kern w:val="0"/>
                <w:sz w:val="28"/>
                <w:szCs w:val="28"/>
                <w:lang w:bidi="ar"/>
              </w:rPr>
              <w:t>100%</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8"/>
                <w:szCs w:val="28"/>
              </w:rPr>
            </w:pPr>
            <w:r>
              <w:rPr>
                <w:rFonts w:hint="eastAsia" w:ascii="方正仿宋_GBK" w:hAnsi="宋体" w:eastAsia="方正仿宋_GBK" w:cs="宋体"/>
                <w:color w:val="000000"/>
                <w:kern w:val="0"/>
                <w:sz w:val="28"/>
                <w:szCs w:val="28"/>
                <w:lang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8"/>
                <w:szCs w:val="28"/>
              </w:rPr>
            </w:pPr>
            <w:r>
              <w:rPr>
                <w:rFonts w:hint="eastAsia" w:ascii="方正仿宋_GBK" w:hAnsi="宋体" w:eastAsia="方正仿宋_GBK" w:cs="宋体"/>
                <w:color w:val="000000"/>
                <w:kern w:val="0"/>
                <w:sz w:val="28"/>
                <w:szCs w:val="28"/>
                <w:lang w:bidi="ar"/>
              </w:rPr>
              <w:t>15</w:t>
            </w:r>
          </w:p>
        </w:tc>
      </w:tr>
      <w:tr>
        <w:tblPrEx>
          <w:tblCellMar>
            <w:top w:w="0" w:type="dxa"/>
            <w:left w:w="108" w:type="dxa"/>
            <w:bottom w:w="0" w:type="dxa"/>
            <w:right w:w="108" w:type="dxa"/>
          </w:tblCellMar>
        </w:tblPrEx>
        <w:trPr>
          <w:trHeight w:val="308" w:hRule="atLeast"/>
        </w:trPr>
        <w:tc>
          <w:tcPr>
            <w:tcW w:w="9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adjustRightInd w:val="0"/>
              <w:spacing w:line="400" w:lineRule="exact"/>
              <w:jc w:val="center"/>
              <w:rPr>
                <w:rFonts w:hint="eastAsia" w:ascii="方正仿宋_GBK" w:hAnsi="宋体" w:eastAsia="方正仿宋_GBK" w:cs="宋体"/>
                <w:color w:val="000000"/>
                <w:sz w:val="28"/>
                <w:szCs w:val="28"/>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8"/>
                <w:szCs w:val="28"/>
              </w:rPr>
            </w:pPr>
            <w:r>
              <w:rPr>
                <w:rFonts w:hint="eastAsia" w:ascii="方正仿宋_GBK" w:hAnsi="宋体" w:eastAsia="方正仿宋_GBK" w:cs="宋体"/>
                <w:color w:val="000000"/>
                <w:kern w:val="0"/>
                <w:sz w:val="28"/>
                <w:szCs w:val="28"/>
                <w:lang w:bidi="ar"/>
              </w:rPr>
              <w:t>产出时效指标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8"/>
                <w:szCs w:val="28"/>
              </w:rPr>
            </w:pPr>
            <w:r>
              <w:rPr>
                <w:rFonts w:hint="eastAsia" w:ascii="方正仿宋_GBK" w:hAnsi="宋体" w:eastAsia="方正仿宋_GBK" w:cs="宋体"/>
                <w:color w:val="000000"/>
                <w:kern w:val="0"/>
                <w:sz w:val="28"/>
                <w:szCs w:val="28"/>
                <w:lang w:bidi="ar"/>
              </w:rPr>
              <w:t>%</w:t>
            </w:r>
          </w:p>
        </w:tc>
        <w:tc>
          <w:tcPr>
            <w:tcW w:w="28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8"/>
                <w:szCs w:val="28"/>
              </w:rPr>
            </w:pPr>
            <w:r>
              <w:rPr>
                <w:rFonts w:hint="eastAsia" w:ascii="方正仿宋_GBK" w:hAnsi="宋体" w:eastAsia="方正仿宋_GBK" w:cs="宋体"/>
                <w:color w:val="000000"/>
                <w:kern w:val="0"/>
                <w:sz w:val="28"/>
                <w:szCs w:val="28"/>
                <w:lang w:bidi="ar"/>
              </w:rPr>
              <w:t>全年</w:t>
            </w:r>
          </w:p>
        </w:tc>
        <w:tc>
          <w:tcPr>
            <w:tcW w:w="1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8"/>
                <w:szCs w:val="28"/>
              </w:rPr>
            </w:pPr>
            <w:r>
              <w:rPr>
                <w:rFonts w:hint="eastAsia" w:ascii="方正仿宋_GBK" w:hAnsi="宋体" w:eastAsia="方正仿宋_GBK" w:cs="宋体"/>
                <w:color w:val="000000"/>
                <w:kern w:val="0"/>
                <w:sz w:val="28"/>
                <w:szCs w:val="28"/>
                <w:lang w:bidi="ar"/>
              </w:rPr>
              <w:t>100%</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8"/>
                <w:szCs w:val="28"/>
              </w:rPr>
            </w:pPr>
            <w:r>
              <w:rPr>
                <w:rFonts w:hint="eastAsia" w:ascii="方正仿宋_GBK" w:hAnsi="宋体" w:eastAsia="方正仿宋_GBK" w:cs="宋体"/>
                <w:color w:val="000000"/>
                <w:kern w:val="0"/>
                <w:sz w:val="28"/>
                <w:szCs w:val="28"/>
                <w:lang w:bidi="ar"/>
              </w:rPr>
              <w:t>100%</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8"/>
                <w:szCs w:val="28"/>
              </w:rPr>
            </w:pPr>
            <w:r>
              <w:rPr>
                <w:rFonts w:hint="eastAsia" w:ascii="方正仿宋_GBK" w:hAnsi="宋体" w:eastAsia="方正仿宋_GBK" w:cs="宋体"/>
                <w:color w:val="000000"/>
                <w:kern w:val="0"/>
                <w:sz w:val="28"/>
                <w:szCs w:val="28"/>
                <w:lang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8"/>
                <w:szCs w:val="28"/>
              </w:rPr>
            </w:pPr>
            <w:r>
              <w:rPr>
                <w:rFonts w:hint="eastAsia" w:ascii="方正仿宋_GBK" w:hAnsi="宋体" w:eastAsia="方正仿宋_GBK" w:cs="宋体"/>
                <w:color w:val="000000"/>
                <w:kern w:val="0"/>
                <w:sz w:val="28"/>
                <w:szCs w:val="28"/>
                <w:lang w:bidi="ar"/>
              </w:rPr>
              <w:t>15</w:t>
            </w:r>
          </w:p>
        </w:tc>
      </w:tr>
      <w:tr>
        <w:tblPrEx>
          <w:tblCellMar>
            <w:top w:w="0" w:type="dxa"/>
            <w:left w:w="108" w:type="dxa"/>
            <w:bottom w:w="0" w:type="dxa"/>
            <w:right w:w="108" w:type="dxa"/>
          </w:tblCellMar>
        </w:tblPrEx>
        <w:trPr>
          <w:trHeight w:val="354" w:hRule="atLeast"/>
        </w:trPr>
        <w:tc>
          <w:tcPr>
            <w:tcW w:w="9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adjustRightInd w:val="0"/>
              <w:spacing w:line="400" w:lineRule="exact"/>
              <w:jc w:val="center"/>
              <w:rPr>
                <w:rFonts w:hint="eastAsia" w:ascii="方正仿宋_GBK" w:hAnsi="宋体" w:eastAsia="方正仿宋_GBK" w:cs="宋体"/>
                <w:color w:val="000000"/>
                <w:sz w:val="28"/>
                <w:szCs w:val="28"/>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8"/>
                <w:szCs w:val="28"/>
              </w:rPr>
            </w:pPr>
            <w:r>
              <w:rPr>
                <w:rFonts w:hint="eastAsia" w:ascii="方正仿宋_GBK" w:hAnsi="宋体" w:eastAsia="方正仿宋_GBK" w:cs="宋体"/>
                <w:color w:val="000000"/>
                <w:kern w:val="0"/>
                <w:sz w:val="28"/>
                <w:szCs w:val="28"/>
                <w:lang w:bidi="ar"/>
              </w:rPr>
              <w:t>社会效益指标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8"/>
                <w:szCs w:val="28"/>
              </w:rPr>
            </w:pPr>
            <w:r>
              <w:rPr>
                <w:rFonts w:hint="eastAsia" w:ascii="方正仿宋_GBK" w:hAnsi="宋体" w:eastAsia="方正仿宋_GBK" w:cs="宋体"/>
                <w:color w:val="000000"/>
                <w:kern w:val="0"/>
                <w:sz w:val="28"/>
                <w:szCs w:val="28"/>
                <w:lang w:bidi="ar"/>
              </w:rPr>
              <w:t>%</w:t>
            </w:r>
          </w:p>
        </w:tc>
        <w:tc>
          <w:tcPr>
            <w:tcW w:w="28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8"/>
                <w:szCs w:val="28"/>
              </w:rPr>
            </w:pPr>
            <w:r>
              <w:rPr>
                <w:rFonts w:hint="eastAsia" w:ascii="方正仿宋_GBK" w:hAnsi="宋体" w:eastAsia="方正仿宋_GBK" w:cs="宋体"/>
                <w:color w:val="000000"/>
                <w:kern w:val="0"/>
                <w:sz w:val="28"/>
                <w:szCs w:val="28"/>
                <w:lang w:bidi="ar"/>
              </w:rPr>
              <w:t>提供社会服务</w:t>
            </w:r>
          </w:p>
        </w:tc>
        <w:tc>
          <w:tcPr>
            <w:tcW w:w="1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8"/>
                <w:szCs w:val="28"/>
              </w:rPr>
            </w:pPr>
            <w:r>
              <w:rPr>
                <w:rFonts w:hint="eastAsia" w:ascii="方正仿宋_GBK" w:hAnsi="宋体" w:eastAsia="方正仿宋_GBK" w:cs="宋体"/>
                <w:color w:val="000000"/>
                <w:kern w:val="0"/>
                <w:sz w:val="28"/>
                <w:szCs w:val="28"/>
                <w:lang w:bidi="ar"/>
              </w:rPr>
              <w:t>100%</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8"/>
                <w:szCs w:val="28"/>
              </w:rPr>
            </w:pPr>
            <w:r>
              <w:rPr>
                <w:rFonts w:hint="eastAsia" w:ascii="方正仿宋_GBK" w:hAnsi="宋体" w:eastAsia="方正仿宋_GBK" w:cs="宋体"/>
                <w:color w:val="000000"/>
                <w:kern w:val="0"/>
                <w:sz w:val="28"/>
                <w:szCs w:val="28"/>
                <w:lang w:bidi="ar"/>
              </w:rPr>
              <w:t>100%</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8"/>
                <w:szCs w:val="28"/>
              </w:rPr>
            </w:pPr>
            <w:r>
              <w:rPr>
                <w:rFonts w:hint="eastAsia" w:ascii="方正仿宋_GBK" w:hAnsi="宋体" w:eastAsia="方正仿宋_GBK" w:cs="宋体"/>
                <w:color w:val="000000"/>
                <w:kern w:val="0"/>
                <w:sz w:val="28"/>
                <w:szCs w:val="28"/>
                <w:lang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8"/>
                <w:szCs w:val="28"/>
              </w:rPr>
            </w:pPr>
            <w:r>
              <w:rPr>
                <w:rFonts w:hint="eastAsia" w:ascii="方正仿宋_GBK" w:hAnsi="宋体" w:eastAsia="方正仿宋_GBK" w:cs="宋体"/>
                <w:color w:val="000000"/>
                <w:kern w:val="0"/>
                <w:sz w:val="28"/>
                <w:szCs w:val="28"/>
                <w:lang w:bidi="ar"/>
              </w:rPr>
              <w:t>15</w:t>
            </w:r>
          </w:p>
        </w:tc>
      </w:tr>
      <w:tr>
        <w:tblPrEx>
          <w:tblCellMar>
            <w:top w:w="0" w:type="dxa"/>
            <w:left w:w="108" w:type="dxa"/>
            <w:bottom w:w="0" w:type="dxa"/>
            <w:right w:w="108" w:type="dxa"/>
          </w:tblCellMar>
        </w:tblPrEx>
        <w:trPr>
          <w:trHeight w:val="378" w:hRule="atLeast"/>
        </w:trPr>
        <w:tc>
          <w:tcPr>
            <w:tcW w:w="9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adjustRightInd w:val="0"/>
              <w:spacing w:line="400" w:lineRule="exact"/>
              <w:jc w:val="center"/>
              <w:rPr>
                <w:rFonts w:hint="eastAsia" w:ascii="方正仿宋_GBK" w:hAnsi="宋体" w:eastAsia="方正仿宋_GBK" w:cs="宋体"/>
                <w:color w:val="000000"/>
                <w:sz w:val="28"/>
                <w:szCs w:val="28"/>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8"/>
                <w:szCs w:val="28"/>
              </w:rPr>
            </w:pPr>
            <w:r>
              <w:rPr>
                <w:rFonts w:hint="eastAsia" w:ascii="方正仿宋_GBK" w:hAnsi="宋体" w:eastAsia="方正仿宋_GBK" w:cs="宋体"/>
                <w:color w:val="000000"/>
                <w:kern w:val="0"/>
                <w:sz w:val="28"/>
                <w:szCs w:val="28"/>
                <w:lang w:bidi="ar"/>
              </w:rPr>
              <w:t>满意度指标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8"/>
                <w:szCs w:val="28"/>
              </w:rPr>
            </w:pPr>
            <w:r>
              <w:rPr>
                <w:rFonts w:hint="eastAsia" w:ascii="方正仿宋_GBK" w:hAnsi="宋体" w:eastAsia="方正仿宋_GBK" w:cs="宋体"/>
                <w:color w:val="000000"/>
                <w:kern w:val="0"/>
                <w:sz w:val="28"/>
                <w:szCs w:val="28"/>
                <w:lang w:bidi="ar"/>
              </w:rPr>
              <w:t>%</w:t>
            </w:r>
          </w:p>
        </w:tc>
        <w:tc>
          <w:tcPr>
            <w:tcW w:w="28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8"/>
                <w:szCs w:val="28"/>
              </w:rPr>
            </w:pPr>
            <w:r>
              <w:rPr>
                <w:rFonts w:hint="eastAsia" w:ascii="方正仿宋_GBK" w:hAnsi="宋体" w:eastAsia="方正仿宋_GBK" w:cs="宋体"/>
                <w:color w:val="000000"/>
                <w:kern w:val="0"/>
                <w:sz w:val="28"/>
                <w:szCs w:val="28"/>
                <w:lang w:bidi="ar"/>
              </w:rPr>
              <w:t>受群众满意</w:t>
            </w:r>
          </w:p>
        </w:tc>
        <w:tc>
          <w:tcPr>
            <w:tcW w:w="1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8"/>
                <w:szCs w:val="28"/>
              </w:rPr>
            </w:pPr>
            <w:r>
              <w:rPr>
                <w:rFonts w:hint="eastAsia" w:ascii="方正仿宋_GBK" w:hAnsi="宋体" w:eastAsia="方正仿宋_GBK" w:cs="宋体"/>
                <w:color w:val="000000"/>
                <w:kern w:val="0"/>
                <w:sz w:val="28"/>
                <w:szCs w:val="28"/>
                <w:lang w:bidi="ar"/>
              </w:rPr>
              <w:t>100%</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8"/>
                <w:szCs w:val="28"/>
              </w:rPr>
            </w:pPr>
            <w:r>
              <w:rPr>
                <w:rFonts w:hint="eastAsia" w:ascii="方正仿宋_GBK" w:hAnsi="宋体" w:eastAsia="方正仿宋_GBK" w:cs="宋体"/>
                <w:color w:val="000000"/>
                <w:kern w:val="0"/>
                <w:sz w:val="28"/>
                <w:szCs w:val="28"/>
                <w:lang w:bidi="ar"/>
              </w:rPr>
              <w:t>100%</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8"/>
                <w:szCs w:val="28"/>
              </w:rPr>
            </w:pPr>
            <w:r>
              <w:rPr>
                <w:rFonts w:hint="eastAsia" w:ascii="方正仿宋_GBK" w:hAnsi="宋体" w:eastAsia="方正仿宋_GBK" w:cs="宋体"/>
                <w:color w:val="000000"/>
                <w:kern w:val="0"/>
                <w:sz w:val="28"/>
                <w:szCs w:val="28"/>
                <w:lang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8"/>
                <w:szCs w:val="28"/>
              </w:rPr>
            </w:pPr>
            <w:r>
              <w:rPr>
                <w:rFonts w:hint="eastAsia" w:ascii="方正仿宋_GBK" w:hAnsi="宋体" w:eastAsia="方正仿宋_GBK" w:cs="宋体"/>
                <w:color w:val="000000"/>
                <w:kern w:val="0"/>
                <w:sz w:val="28"/>
                <w:szCs w:val="28"/>
                <w:lang w:bidi="ar"/>
              </w:rPr>
              <w:t>15</w:t>
            </w:r>
          </w:p>
        </w:tc>
      </w:tr>
      <w:tr>
        <w:tblPrEx>
          <w:tblCellMar>
            <w:top w:w="0" w:type="dxa"/>
            <w:left w:w="108" w:type="dxa"/>
            <w:bottom w:w="0" w:type="dxa"/>
            <w:right w:w="108" w:type="dxa"/>
          </w:tblCellMar>
        </w:tblPrEx>
        <w:trPr>
          <w:trHeight w:val="696"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jc w:val="center"/>
              <w:textAlignment w:val="center"/>
              <w:rPr>
                <w:rFonts w:hint="eastAsia" w:ascii="方正仿宋_GBK" w:hAnsi="宋体" w:eastAsia="方正仿宋_GBK" w:cs="宋体"/>
                <w:color w:val="000000"/>
                <w:sz w:val="28"/>
                <w:szCs w:val="28"/>
              </w:rPr>
            </w:pPr>
            <w:r>
              <w:rPr>
                <w:rFonts w:hint="eastAsia" w:ascii="方正仿宋_GBK" w:hAnsi="宋体" w:eastAsia="方正仿宋_GBK" w:cs="宋体"/>
                <w:color w:val="000000"/>
                <w:kern w:val="0"/>
                <w:sz w:val="28"/>
                <w:szCs w:val="28"/>
                <w:lang w:bidi="ar"/>
              </w:rPr>
              <w:t>说明</w:t>
            </w:r>
          </w:p>
        </w:tc>
        <w:tc>
          <w:tcPr>
            <w:tcW w:w="918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pacing w:line="400" w:lineRule="exact"/>
              <w:jc w:val="center"/>
              <w:rPr>
                <w:rFonts w:hint="eastAsia" w:ascii="方正仿宋_GBK" w:hAnsi="宋体" w:eastAsia="方正仿宋_GBK" w:cs="宋体"/>
                <w:color w:val="000000"/>
                <w:sz w:val="28"/>
                <w:szCs w:val="28"/>
              </w:rPr>
            </w:pPr>
          </w:p>
        </w:tc>
      </w:tr>
    </w:tbl>
    <w:p>
      <w:pPr>
        <w:pStyle w:val="4"/>
        <w:widowControl/>
        <w:adjustRightInd w:val="0"/>
        <w:spacing w:beforeAutospacing="0" w:afterAutospacing="0"/>
        <w:ind w:firstLine="642" w:firstLineChars="200"/>
        <w:jc w:val="both"/>
        <w:rPr>
          <w:rStyle w:val="7"/>
          <w:rFonts w:hint="eastAsia" w:ascii="方正仿宋_GBK" w:hAnsi="宋体" w:eastAsia="方正仿宋_GBK" w:cs="宋体"/>
          <w:sz w:val="32"/>
          <w:szCs w:val="32"/>
          <w:shd w:val="clear" w:color="auto" w:fill="FFFF00"/>
        </w:rPr>
      </w:pPr>
    </w:p>
    <w:p>
      <w:pPr>
        <w:pStyle w:val="4"/>
        <w:widowControl/>
        <w:adjustRightInd w:val="0"/>
        <w:spacing w:beforeAutospacing="0" w:afterAutospacing="0"/>
        <w:ind w:firstLine="642" w:firstLineChars="200"/>
        <w:jc w:val="both"/>
        <w:rPr>
          <w:rStyle w:val="7"/>
          <w:rFonts w:hint="eastAsia" w:ascii="方正仿宋_GBK" w:hAnsi="宋体" w:eastAsia="方正仿宋_GBK" w:cs="宋体"/>
          <w:sz w:val="32"/>
          <w:szCs w:val="32"/>
        </w:rPr>
      </w:pPr>
      <w:r>
        <w:rPr>
          <w:rStyle w:val="7"/>
          <w:rFonts w:hint="eastAsia" w:ascii="方正仿宋_GBK" w:hAnsi="宋体" w:eastAsia="方正仿宋_GBK" w:cs="宋体"/>
          <w:sz w:val="32"/>
          <w:szCs w:val="32"/>
        </w:rPr>
        <w:t>2.绩效自评报告</w:t>
      </w:r>
    </w:p>
    <w:p>
      <w:pPr>
        <w:pStyle w:val="4"/>
        <w:widowControl/>
        <w:adjustRightInd w:val="0"/>
        <w:spacing w:beforeAutospacing="0" w:afterAutospacing="0"/>
        <w:ind w:firstLine="642" w:firstLineChars="200"/>
        <w:jc w:val="both"/>
        <w:rPr>
          <w:rStyle w:val="7"/>
          <w:rFonts w:hint="eastAsia" w:ascii="方正仿宋_GBK" w:hAnsi="宋体" w:eastAsia="方正仿宋_GBK" w:cs="宋体"/>
          <w:sz w:val="32"/>
          <w:szCs w:val="32"/>
        </w:rPr>
      </w:pPr>
    </w:p>
    <w:p>
      <w:pPr>
        <w:pStyle w:val="4"/>
        <w:widowControl/>
        <w:adjustRightInd w:val="0"/>
        <w:spacing w:beforeAutospacing="0" w:afterAutospacing="0"/>
        <w:ind w:firstLine="640" w:firstLineChars="200"/>
        <w:jc w:val="both"/>
        <w:rPr>
          <w:rStyle w:val="7"/>
          <w:rFonts w:hint="eastAsia" w:ascii="方正仿宋_GBK" w:hAnsi="宋体" w:eastAsia="方正仿宋_GBK" w:cs="宋体"/>
          <w:b w:val="0"/>
          <w:sz w:val="32"/>
          <w:szCs w:val="32"/>
        </w:rPr>
      </w:pPr>
      <w:r>
        <w:rPr>
          <w:rStyle w:val="7"/>
          <w:rFonts w:hint="eastAsia" w:ascii="方正仿宋_GBK" w:hAnsi="宋体" w:eastAsia="方正仿宋_GBK" w:cs="宋体"/>
          <w:b w:val="0"/>
          <w:sz w:val="32"/>
          <w:szCs w:val="32"/>
        </w:rPr>
        <w:t>（1）脱贫攻坚经费资金绩效自评报告</w:t>
      </w:r>
    </w:p>
    <w:p>
      <w:pPr>
        <w:pStyle w:val="4"/>
        <w:widowControl/>
        <w:adjustRightInd w:val="0"/>
        <w:spacing w:beforeAutospacing="0" w:afterAutospacing="0"/>
        <w:ind w:firstLine="642" w:firstLineChars="200"/>
        <w:jc w:val="both"/>
        <w:rPr>
          <w:rStyle w:val="7"/>
          <w:rFonts w:hint="eastAsia" w:ascii="方正仿宋_GBK" w:hAnsi="宋体" w:eastAsia="方正仿宋_GBK" w:cs="宋体"/>
          <w:sz w:val="32"/>
          <w:szCs w:val="32"/>
        </w:rPr>
      </w:pPr>
    </w:p>
    <w:p>
      <w:pPr>
        <w:pStyle w:val="4"/>
        <w:widowControl/>
        <w:adjustRightInd w:val="0"/>
        <w:snapToGrid w:val="0"/>
        <w:spacing w:beforeAutospacing="0" w:afterAutospacing="0"/>
        <w:jc w:val="center"/>
        <w:rPr>
          <w:rStyle w:val="7"/>
          <w:rFonts w:hint="eastAsia" w:ascii="方正小标宋_GBK" w:hAnsi="宋体" w:eastAsia="方正小标宋_GBK" w:cs="宋体"/>
          <w:b w:val="0"/>
          <w:sz w:val="44"/>
          <w:szCs w:val="32"/>
        </w:rPr>
      </w:pPr>
      <w:r>
        <w:rPr>
          <w:rStyle w:val="7"/>
          <w:rFonts w:hint="eastAsia" w:ascii="方正小标宋_GBK" w:hAnsi="宋体" w:eastAsia="方正小标宋_GBK" w:cs="宋体"/>
          <w:b w:val="0"/>
          <w:sz w:val="44"/>
          <w:szCs w:val="32"/>
        </w:rPr>
        <w:t>重庆市梁平区蟠龙镇脱贫攻坚经费资金绩效</w:t>
      </w:r>
    </w:p>
    <w:p>
      <w:pPr>
        <w:pStyle w:val="4"/>
        <w:widowControl/>
        <w:adjustRightInd w:val="0"/>
        <w:snapToGrid w:val="0"/>
        <w:spacing w:beforeAutospacing="0" w:afterAutospacing="0"/>
        <w:jc w:val="center"/>
        <w:rPr>
          <w:rStyle w:val="7"/>
          <w:rFonts w:hint="eastAsia" w:ascii="方正小标宋_GBK" w:hAnsi="宋体" w:eastAsia="方正小标宋_GBK" w:cs="宋体"/>
          <w:b w:val="0"/>
          <w:sz w:val="44"/>
          <w:szCs w:val="32"/>
        </w:rPr>
      </w:pPr>
      <w:r>
        <w:rPr>
          <w:rStyle w:val="7"/>
          <w:rFonts w:hint="eastAsia" w:ascii="方正小标宋_GBK" w:hAnsi="宋体" w:eastAsia="方正小标宋_GBK" w:cs="宋体"/>
          <w:b w:val="0"/>
          <w:sz w:val="44"/>
          <w:szCs w:val="32"/>
        </w:rPr>
        <w:t>自评报告</w:t>
      </w:r>
    </w:p>
    <w:p>
      <w:pPr>
        <w:pStyle w:val="4"/>
        <w:widowControl/>
        <w:adjustRightInd w:val="0"/>
        <w:spacing w:beforeAutospacing="0" w:afterAutospacing="0"/>
        <w:ind w:firstLine="640" w:firstLineChars="200"/>
        <w:jc w:val="both"/>
        <w:rPr>
          <w:rStyle w:val="7"/>
          <w:rFonts w:hint="eastAsia" w:ascii="方正黑体_GBK" w:hAnsi="宋体" w:eastAsia="方正黑体_GBK" w:cs="宋体"/>
          <w:b w:val="0"/>
          <w:sz w:val="32"/>
          <w:szCs w:val="32"/>
        </w:rPr>
      </w:pPr>
    </w:p>
    <w:p>
      <w:pPr>
        <w:pStyle w:val="4"/>
        <w:widowControl/>
        <w:numPr>
          <w:ilvl w:val="0"/>
          <w:numId w:val="4"/>
        </w:numPr>
        <w:adjustRightInd w:val="0"/>
        <w:spacing w:beforeAutospacing="0" w:afterAutospacing="0"/>
        <w:ind w:firstLine="640" w:firstLineChars="200"/>
        <w:jc w:val="both"/>
        <w:rPr>
          <w:rStyle w:val="7"/>
          <w:rFonts w:hint="eastAsia" w:ascii="方正仿宋_GBK" w:hAnsi="宋体" w:eastAsia="方正仿宋_GBK" w:cs="宋体"/>
          <w:b w:val="0"/>
          <w:bCs/>
          <w:sz w:val="32"/>
          <w:szCs w:val="32"/>
        </w:rPr>
      </w:pPr>
      <w:r>
        <w:rPr>
          <w:rStyle w:val="7"/>
          <w:rFonts w:hint="eastAsia" w:ascii="方正黑体_GBK" w:hAnsi="宋体" w:eastAsia="方正黑体_GBK" w:cs="宋体"/>
          <w:b w:val="0"/>
          <w:sz w:val="32"/>
          <w:szCs w:val="32"/>
        </w:rPr>
        <w:t>绩效目标分解下达情况</w:t>
      </w:r>
    </w:p>
    <w:p>
      <w:pPr>
        <w:pStyle w:val="4"/>
        <w:widowControl/>
        <w:adjustRightInd w:val="0"/>
        <w:spacing w:beforeAutospacing="0" w:afterAutospacing="0"/>
        <w:ind w:firstLine="640" w:firstLineChars="200"/>
        <w:jc w:val="both"/>
        <w:rPr>
          <w:rStyle w:val="7"/>
          <w:rFonts w:hint="eastAsia" w:ascii="方正仿宋_GBK" w:hAnsi="宋体" w:eastAsia="方正仿宋_GBK" w:cs="宋体"/>
          <w:b w:val="0"/>
          <w:bCs/>
          <w:sz w:val="32"/>
          <w:szCs w:val="32"/>
        </w:rPr>
      </w:pPr>
      <w:r>
        <w:rPr>
          <w:rStyle w:val="7"/>
          <w:rFonts w:hint="eastAsia" w:ascii="方正仿宋_GBK" w:hAnsi="宋体" w:eastAsia="方正仿宋_GBK" w:cs="宋体"/>
          <w:b w:val="0"/>
          <w:bCs/>
          <w:sz w:val="32"/>
          <w:szCs w:val="32"/>
        </w:rPr>
        <w:t>区级资金安排、分解下达预算和绩效目标情况，2020年区级财政安排下达脱贫攻坚资金136.92万元。项目绩效目标是改善贫困村、贫困户生产生活条件，</w:t>
      </w:r>
      <w:r>
        <w:rPr>
          <w:rStyle w:val="7"/>
          <w:rFonts w:hint="eastAsia" w:ascii="方正仿宋_GBK" w:hAnsi="宋体" w:eastAsia="方正仿宋_GBK" w:cs="宋体"/>
          <w:b w:val="0"/>
          <w:bCs/>
          <w:sz w:val="32"/>
          <w:szCs w:val="32"/>
          <w:lang w:eastAsia="zh-CN"/>
        </w:rPr>
        <w:t>巩固拓展脱贫攻坚成果</w:t>
      </w:r>
      <w:r>
        <w:rPr>
          <w:rStyle w:val="7"/>
          <w:rFonts w:hint="eastAsia" w:ascii="方正仿宋_GBK" w:hAnsi="宋体" w:eastAsia="方正仿宋_GBK" w:cs="宋体"/>
          <w:b w:val="0"/>
          <w:bCs/>
          <w:sz w:val="32"/>
          <w:szCs w:val="32"/>
        </w:rPr>
        <w:t>，</w:t>
      </w:r>
      <w:r>
        <w:rPr>
          <w:rStyle w:val="7"/>
          <w:rFonts w:hint="eastAsia" w:ascii="方正仿宋_GBK" w:hAnsi="宋体" w:eastAsia="方正仿宋_GBK" w:cs="宋体"/>
          <w:b w:val="0"/>
          <w:bCs/>
          <w:sz w:val="32"/>
          <w:szCs w:val="32"/>
          <w:lang w:eastAsia="zh-CN"/>
        </w:rPr>
        <w:t>圆满</w:t>
      </w:r>
      <w:r>
        <w:rPr>
          <w:rStyle w:val="7"/>
          <w:rFonts w:hint="eastAsia" w:ascii="方正仿宋_GBK" w:hAnsi="宋体" w:eastAsia="方正仿宋_GBK" w:cs="宋体"/>
          <w:b w:val="0"/>
          <w:bCs/>
          <w:sz w:val="32"/>
          <w:szCs w:val="32"/>
        </w:rPr>
        <w:t>完成脱贫攻坚任务。</w:t>
      </w:r>
    </w:p>
    <w:p>
      <w:pPr>
        <w:pStyle w:val="4"/>
        <w:widowControl/>
        <w:numPr>
          <w:ilvl w:val="0"/>
          <w:numId w:val="4"/>
        </w:numPr>
        <w:adjustRightInd w:val="0"/>
        <w:spacing w:beforeAutospacing="0" w:afterAutospacing="0"/>
        <w:ind w:firstLine="640" w:firstLineChars="200"/>
        <w:jc w:val="both"/>
        <w:rPr>
          <w:rStyle w:val="7"/>
          <w:rFonts w:hint="eastAsia" w:ascii="方正黑体_GBK" w:hAnsi="宋体" w:eastAsia="方正黑体_GBK" w:cs="宋体"/>
          <w:b w:val="0"/>
          <w:sz w:val="32"/>
          <w:szCs w:val="32"/>
        </w:rPr>
      </w:pPr>
      <w:r>
        <w:rPr>
          <w:rStyle w:val="7"/>
          <w:rFonts w:hint="eastAsia" w:ascii="方正黑体_GBK" w:hAnsi="宋体" w:eastAsia="方正黑体_GBK" w:cs="宋体"/>
          <w:b w:val="0"/>
          <w:sz w:val="32"/>
          <w:szCs w:val="32"/>
        </w:rPr>
        <w:t>绩效目标完成情况分析</w:t>
      </w:r>
    </w:p>
    <w:p>
      <w:pPr>
        <w:pStyle w:val="4"/>
        <w:widowControl/>
        <w:numPr>
          <w:ilvl w:val="0"/>
          <w:numId w:val="5"/>
        </w:numPr>
        <w:adjustRightInd w:val="0"/>
        <w:spacing w:beforeAutospacing="0" w:afterAutospacing="0"/>
        <w:ind w:firstLine="640" w:firstLineChars="200"/>
        <w:jc w:val="both"/>
        <w:rPr>
          <w:rStyle w:val="7"/>
          <w:rFonts w:hint="eastAsia" w:ascii="方正仿宋_GBK" w:hAnsi="宋体" w:eastAsia="方正仿宋_GBK" w:cs="宋体"/>
          <w:b w:val="0"/>
          <w:bCs/>
          <w:sz w:val="32"/>
          <w:szCs w:val="32"/>
        </w:rPr>
      </w:pPr>
      <w:r>
        <w:rPr>
          <w:rStyle w:val="7"/>
          <w:rFonts w:hint="eastAsia" w:ascii="方正楷体_GBK" w:hAnsi="宋体" w:eastAsia="方正楷体_GBK" w:cs="宋体"/>
          <w:b w:val="0"/>
          <w:sz w:val="32"/>
          <w:szCs w:val="32"/>
        </w:rPr>
        <w:t>资金投入情况分析。</w:t>
      </w:r>
      <w:r>
        <w:rPr>
          <w:rStyle w:val="7"/>
          <w:rFonts w:hint="eastAsia" w:ascii="方正仿宋_GBK" w:hAnsi="宋体" w:eastAsia="方正仿宋_GBK" w:cs="宋体"/>
          <w:b w:val="0"/>
          <w:bCs/>
          <w:sz w:val="32"/>
          <w:szCs w:val="32"/>
        </w:rPr>
        <w:t>1.项目资金到位情况分析。2020年财政扶贫专项资金到位136.92万元，其中：（1）建卡贫困户医疗参保10.27万元；（2）建卡贫困户公益性岗位开发3.6万元；（3）贫困户产业发展60万元；（4）产业便道30万元；（5）脱贫攻坚补短板10万元；（6）个性化困难帮扶27.2万元；（7）工作经费0.85万元。2.项目资金执行情况分析。</w:t>
      </w:r>
      <w:r>
        <w:rPr>
          <w:rStyle w:val="7"/>
          <w:rFonts w:hint="eastAsia" w:ascii="方正仿宋_GBK" w:hAnsi="宋体" w:eastAsia="方正仿宋_GBK" w:cs="宋体"/>
          <w:b w:val="0"/>
          <w:bCs/>
          <w:sz w:val="32"/>
          <w:szCs w:val="32"/>
          <w:lang w:eastAsia="zh-CN"/>
        </w:rPr>
        <w:t>截至目前</w:t>
      </w:r>
      <w:r>
        <w:rPr>
          <w:rStyle w:val="7"/>
          <w:rFonts w:hint="eastAsia" w:ascii="方正仿宋_GBK" w:hAnsi="宋体" w:eastAsia="方正仿宋_GBK" w:cs="宋体"/>
          <w:b w:val="0"/>
          <w:bCs/>
          <w:sz w:val="32"/>
          <w:szCs w:val="32"/>
        </w:rPr>
        <w:t>实际总支出为136.92万元，已全部支付完毕。3.项目资金管理情况分析。严格按照相应的业务管理制度，做到了资金使用规范，符合国家财经法规和财务管理以及有关专项资金管理办法的规定；资金的拨付有完整的审批程序和手续，不存在截留、挤占、挪用、虚列支出等情况，会计核算准确、财务资料完整。</w:t>
      </w:r>
    </w:p>
    <w:p>
      <w:pPr>
        <w:pStyle w:val="4"/>
        <w:widowControl/>
        <w:adjustRightInd w:val="0"/>
        <w:spacing w:beforeAutospacing="0" w:afterAutospacing="0"/>
        <w:ind w:firstLine="640" w:firstLineChars="200"/>
        <w:jc w:val="both"/>
        <w:rPr>
          <w:rStyle w:val="7"/>
          <w:rFonts w:hint="eastAsia" w:ascii="方正仿宋_GBK" w:hAnsi="宋体" w:eastAsia="方正仿宋_GBK" w:cs="宋体"/>
          <w:b w:val="0"/>
          <w:bCs/>
          <w:sz w:val="32"/>
          <w:szCs w:val="32"/>
        </w:rPr>
      </w:pPr>
      <w:r>
        <w:rPr>
          <w:rStyle w:val="7"/>
          <w:rFonts w:hint="eastAsia" w:ascii="方正楷体_GBK" w:hAnsi="宋体" w:eastAsia="方正楷体_GBK" w:cs="宋体"/>
          <w:b w:val="0"/>
          <w:sz w:val="32"/>
          <w:szCs w:val="32"/>
        </w:rPr>
        <w:t>（二）绩效目标完成情况分析。</w:t>
      </w:r>
      <w:r>
        <w:rPr>
          <w:rStyle w:val="7"/>
          <w:rFonts w:hint="eastAsia" w:ascii="方正仿宋_GBK" w:hAnsi="宋体" w:eastAsia="方正仿宋_GBK" w:cs="宋体"/>
          <w:b w:val="0"/>
          <w:bCs/>
          <w:sz w:val="32"/>
          <w:szCs w:val="32"/>
        </w:rPr>
        <w:t>1.绩效目标指标完成情况分析。（1）数量指标为完成产业便道建设3300米、</w:t>
      </w:r>
      <w:r>
        <w:rPr>
          <w:rStyle w:val="7"/>
          <w:rFonts w:hint="eastAsia" w:ascii="方正仿宋_GBK" w:hAnsi="宋体" w:eastAsia="方正仿宋_GBK" w:cs="宋体"/>
          <w:b w:val="0"/>
          <w:bCs/>
          <w:sz w:val="32"/>
          <w:szCs w:val="32"/>
          <w:lang w:eastAsia="zh-CN"/>
        </w:rPr>
        <w:t>养殖</w:t>
      </w:r>
      <w:r>
        <w:rPr>
          <w:rStyle w:val="7"/>
          <w:rFonts w:hint="eastAsia" w:ascii="方正仿宋_GBK" w:hAnsi="宋体" w:eastAsia="方正仿宋_GBK" w:cs="宋体"/>
          <w:b w:val="0"/>
          <w:bCs/>
          <w:sz w:val="32"/>
          <w:szCs w:val="32"/>
          <w:lang w:val="en-US" w:eastAsia="zh-CN"/>
        </w:rPr>
        <w:t>/种植</w:t>
      </w:r>
      <w:bookmarkStart w:id="0" w:name="_GoBack"/>
      <w:bookmarkEnd w:id="0"/>
      <w:r>
        <w:rPr>
          <w:rStyle w:val="7"/>
          <w:rFonts w:hint="eastAsia" w:ascii="方正仿宋_GBK" w:hAnsi="宋体" w:eastAsia="方正仿宋_GBK" w:cs="宋体"/>
          <w:b w:val="0"/>
          <w:bCs/>
          <w:sz w:val="32"/>
          <w:szCs w:val="32"/>
        </w:rPr>
        <w:t>产业展282户、</w:t>
      </w:r>
      <w:r>
        <w:rPr>
          <w:rStyle w:val="7"/>
          <w:rFonts w:hint="eastAsia" w:ascii="方正仿宋_GBK" w:hAnsi="宋体" w:eastAsia="方正仿宋_GBK" w:cs="宋体"/>
          <w:b w:val="0"/>
          <w:bCs/>
          <w:sz w:val="32"/>
          <w:szCs w:val="32"/>
          <w:lang w:eastAsia="zh-CN"/>
        </w:rPr>
        <w:t>“两不愁三保障”</w:t>
      </w:r>
      <w:r>
        <w:rPr>
          <w:rStyle w:val="7"/>
          <w:rFonts w:hint="eastAsia" w:ascii="方正仿宋_GBK" w:hAnsi="宋体" w:eastAsia="方正仿宋_GBK" w:cs="宋体"/>
          <w:b w:val="0"/>
          <w:bCs/>
          <w:sz w:val="32"/>
          <w:szCs w:val="32"/>
        </w:rPr>
        <w:t>房屋维护修77户、公益性岗位68人、建卡贫困户都参加了医疗保险。（2）质量指标为助推脱贫攻坚任务</w:t>
      </w:r>
      <w:r>
        <w:rPr>
          <w:rStyle w:val="7"/>
          <w:rFonts w:hint="eastAsia" w:ascii="方正仿宋_GBK" w:hAnsi="宋体" w:eastAsia="方正仿宋_GBK" w:cs="宋体"/>
          <w:b w:val="0"/>
          <w:bCs/>
          <w:sz w:val="32"/>
          <w:szCs w:val="32"/>
          <w:lang w:eastAsia="zh-CN"/>
        </w:rPr>
        <w:t>圆满</w:t>
      </w:r>
      <w:r>
        <w:rPr>
          <w:rStyle w:val="7"/>
          <w:rFonts w:hint="eastAsia" w:ascii="方正仿宋_GBK" w:hAnsi="宋体" w:eastAsia="方正仿宋_GBK" w:cs="宋体"/>
          <w:b w:val="0"/>
          <w:bCs/>
          <w:sz w:val="32"/>
          <w:szCs w:val="32"/>
        </w:rPr>
        <w:t>完成。（3）成本指标为全年使用区级财政扶贫资金136.92万元。2.效益指标完成情况分析。（1）经济效益和社会效益。2020年完成136.92万元扶贫经费的使用，改善贫困村、贫困户生产生活条件、增加收入、进一步</w:t>
      </w:r>
      <w:r>
        <w:rPr>
          <w:rStyle w:val="7"/>
          <w:rFonts w:hint="eastAsia" w:ascii="方正仿宋_GBK" w:hAnsi="宋体" w:eastAsia="方正仿宋_GBK" w:cs="宋体"/>
          <w:b w:val="0"/>
          <w:bCs/>
          <w:sz w:val="32"/>
          <w:szCs w:val="32"/>
          <w:lang w:eastAsia="zh-CN"/>
        </w:rPr>
        <w:t>巩固拓展脱贫攻坚成果</w:t>
      </w:r>
      <w:r>
        <w:rPr>
          <w:rStyle w:val="7"/>
          <w:rFonts w:hint="eastAsia" w:ascii="方正仿宋_GBK" w:hAnsi="宋体" w:eastAsia="方正仿宋_GBK" w:cs="宋体"/>
          <w:b w:val="0"/>
          <w:bCs/>
          <w:sz w:val="32"/>
          <w:szCs w:val="32"/>
        </w:rPr>
        <w:t>，建卡贫困户反应良好。（2）可持续影响主要是为全镇经济社会发展、完成脱贫攻坚任务提供有力支撑。3.满意度指标完成情况分析。年初预算满意度指标为95%，年底100%达到。</w:t>
      </w:r>
    </w:p>
    <w:p>
      <w:pPr>
        <w:pStyle w:val="4"/>
        <w:widowControl/>
        <w:adjustRightInd w:val="0"/>
        <w:spacing w:beforeAutospacing="0" w:afterAutospacing="0"/>
        <w:ind w:firstLine="640" w:firstLineChars="200"/>
        <w:jc w:val="both"/>
        <w:rPr>
          <w:rStyle w:val="7"/>
          <w:rFonts w:hint="eastAsia" w:ascii="方正黑体_GBK" w:hAnsi="宋体" w:eastAsia="方正黑体_GBK" w:cs="宋体"/>
          <w:b w:val="0"/>
          <w:sz w:val="32"/>
          <w:szCs w:val="32"/>
        </w:rPr>
      </w:pPr>
      <w:r>
        <w:rPr>
          <w:rStyle w:val="7"/>
          <w:rFonts w:hint="eastAsia" w:ascii="方正黑体_GBK" w:hAnsi="宋体" w:eastAsia="方正黑体_GBK" w:cs="宋体"/>
          <w:b w:val="0"/>
          <w:sz w:val="32"/>
          <w:szCs w:val="32"/>
        </w:rPr>
        <w:t>三、偏离绩效目标的原因和下一步改进措施</w:t>
      </w:r>
    </w:p>
    <w:p>
      <w:pPr>
        <w:pStyle w:val="4"/>
        <w:widowControl/>
        <w:adjustRightInd w:val="0"/>
        <w:spacing w:beforeAutospacing="0" w:afterAutospacing="0"/>
        <w:ind w:firstLine="640" w:firstLineChars="200"/>
        <w:jc w:val="both"/>
        <w:rPr>
          <w:rStyle w:val="7"/>
          <w:rFonts w:hint="eastAsia" w:ascii="方正仿宋_GBK" w:hAnsi="宋体" w:eastAsia="方正仿宋_GBK" w:cs="宋体"/>
          <w:b w:val="0"/>
          <w:bCs/>
          <w:sz w:val="32"/>
          <w:szCs w:val="32"/>
        </w:rPr>
      </w:pPr>
      <w:r>
        <w:rPr>
          <w:rStyle w:val="7"/>
          <w:rFonts w:hint="eastAsia" w:ascii="方正仿宋_GBK" w:hAnsi="宋体" w:eastAsia="方正仿宋_GBK" w:cs="宋体"/>
          <w:b w:val="0"/>
          <w:bCs/>
          <w:sz w:val="32"/>
          <w:szCs w:val="32"/>
        </w:rPr>
        <w:t>2020年脱贫攻坚绩效目标明确，所有指标没有偏离绩效目标，各项绩效指标项目经费全部使用完毕，确保了我镇脱贫攻坚各项工作有序进行。</w:t>
      </w:r>
    </w:p>
    <w:p>
      <w:pPr>
        <w:pStyle w:val="4"/>
        <w:widowControl/>
        <w:adjustRightInd w:val="0"/>
        <w:spacing w:beforeAutospacing="0" w:afterAutospacing="0"/>
        <w:ind w:firstLine="640" w:firstLineChars="200"/>
        <w:jc w:val="both"/>
        <w:rPr>
          <w:rStyle w:val="7"/>
          <w:rFonts w:hint="eastAsia" w:ascii="方正黑体_GBK" w:hAnsi="宋体" w:eastAsia="方正黑体_GBK" w:cs="宋体"/>
          <w:b w:val="0"/>
          <w:sz w:val="32"/>
          <w:szCs w:val="32"/>
        </w:rPr>
      </w:pPr>
      <w:r>
        <w:rPr>
          <w:rStyle w:val="7"/>
          <w:rFonts w:hint="eastAsia" w:ascii="方正黑体_GBK" w:hAnsi="宋体" w:eastAsia="方正黑体_GBK" w:cs="宋体"/>
          <w:b w:val="0"/>
          <w:sz w:val="32"/>
          <w:szCs w:val="32"/>
        </w:rPr>
        <w:t>四、绩效自评结果拟应用和公开情况</w:t>
      </w:r>
    </w:p>
    <w:p>
      <w:pPr>
        <w:pStyle w:val="4"/>
        <w:widowControl/>
        <w:adjustRightInd w:val="0"/>
        <w:spacing w:beforeAutospacing="0" w:afterAutospacing="0"/>
        <w:ind w:firstLine="640" w:firstLineChars="200"/>
        <w:jc w:val="both"/>
        <w:rPr>
          <w:rStyle w:val="7"/>
          <w:rFonts w:hint="eastAsia" w:ascii="方正仿宋_GBK" w:hAnsi="宋体" w:eastAsia="方正仿宋_GBK" w:cs="宋体"/>
          <w:b w:val="0"/>
          <w:bCs/>
          <w:sz w:val="32"/>
          <w:szCs w:val="32"/>
        </w:rPr>
      </w:pPr>
      <w:r>
        <w:rPr>
          <w:rStyle w:val="7"/>
          <w:rFonts w:hint="eastAsia" w:ascii="方正仿宋_GBK" w:hAnsi="宋体" w:eastAsia="方正仿宋_GBK" w:cs="宋体"/>
          <w:b w:val="0"/>
          <w:bCs/>
          <w:sz w:val="32"/>
          <w:szCs w:val="32"/>
        </w:rPr>
        <w:t>自评结果将作为以后年度项目预算重要参考依据，并根据（梁平财发〔2021〕253号）文件精神，经镇政府预算公开评审、报镇人大后随同部门决算向社会公开。</w:t>
      </w:r>
    </w:p>
    <w:p>
      <w:pPr>
        <w:pStyle w:val="4"/>
        <w:widowControl/>
        <w:adjustRightInd w:val="0"/>
        <w:spacing w:beforeAutospacing="0" w:afterAutospacing="0"/>
        <w:ind w:firstLine="642" w:firstLineChars="200"/>
        <w:jc w:val="both"/>
        <w:rPr>
          <w:rStyle w:val="7"/>
          <w:rFonts w:hint="eastAsia" w:ascii="方正仿宋_GBK" w:hAnsi="宋体" w:eastAsia="方正仿宋_GBK" w:cs="宋体"/>
          <w:sz w:val="32"/>
          <w:szCs w:val="32"/>
        </w:rPr>
      </w:pPr>
    </w:p>
    <w:p>
      <w:pPr>
        <w:pStyle w:val="4"/>
        <w:widowControl/>
        <w:adjustRightInd w:val="0"/>
        <w:spacing w:beforeAutospacing="0" w:afterAutospacing="0"/>
        <w:ind w:firstLine="640" w:firstLineChars="200"/>
        <w:jc w:val="both"/>
        <w:rPr>
          <w:rStyle w:val="7"/>
          <w:rFonts w:hint="eastAsia" w:ascii="方正仿宋_GBK" w:hAnsi="宋体" w:eastAsia="方正仿宋_GBK" w:cs="宋体"/>
          <w:b w:val="0"/>
          <w:sz w:val="32"/>
          <w:szCs w:val="32"/>
        </w:rPr>
      </w:pPr>
      <w:r>
        <w:rPr>
          <w:rStyle w:val="7"/>
          <w:rFonts w:hint="eastAsia" w:ascii="方正仿宋_GBK" w:hAnsi="宋体" w:eastAsia="方正仿宋_GBK" w:cs="宋体"/>
          <w:b w:val="0"/>
          <w:sz w:val="32"/>
          <w:szCs w:val="32"/>
        </w:rPr>
        <w:t>（2）基础设施类经费支出资金绩效自评报告</w:t>
      </w:r>
    </w:p>
    <w:p>
      <w:pPr>
        <w:pStyle w:val="4"/>
        <w:widowControl/>
        <w:adjustRightInd w:val="0"/>
        <w:spacing w:beforeAutospacing="0" w:afterAutospacing="0"/>
        <w:ind w:firstLine="642" w:firstLineChars="200"/>
        <w:jc w:val="both"/>
        <w:rPr>
          <w:rStyle w:val="7"/>
          <w:rFonts w:hint="eastAsia" w:ascii="方正仿宋_GBK" w:hAnsi="宋体" w:eastAsia="方正仿宋_GBK" w:cs="宋体"/>
          <w:sz w:val="32"/>
          <w:szCs w:val="32"/>
        </w:rPr>
      </w:pPr>
    </w:p>
    <w:p>
      <w:pPr>
        <w:pStyle w:val="4"/>
        <w:widowControl/>
        <w:adjustRightInd w:val="0"/>
        <w:snapToGrid w:val="0"/>
        <w:spacing w:beforeAutospacing="0" w:afterAutospacing="0"/>
        <w:jc w:val="center"/>
        <w:rPr>
          <w:rStyle w:val="7"/>
          <w:rFonts w:hint="eastAsia" w:ascii="方正小标宋_GBK" w:hAnsi="宋体" w:eastAsia="方正小标宋_GBK" w:cs="宋体"/>
          <w:b w:val="0"/>
          <w:sz w:val="44"/>
          <w:szCs w:val="44"/>
        </w:rPr>
      </w:pPr>
      <w:r>
        <w:rPr>
          <w:rStyle w:val="7"/>
          <w:rFonts w:hint="eastAsia" w:ascii="方正小标宋_GBK" w:hAnsi="宋体" w:eastAsia="方正小标宋_GBK" w:cs="宋体"/>
          <w:b w:val="0"/>
          <w:sz w:val="44"/>
          <w:szCs w:val="44"/>
        </w:rPr>
        <w:t>重庆市梁平区蟠龙镇基础设施类经费支出资金绩效自评报告</w:t>
      </w:r>
    </w:p>
    <w:p>
      <w:pPr>
        <w:pStyle w:val="4"/>
        <w:widowControl/>
        <w:adjustRightInd w:val="0"/>
        <w:snapToGrid w:val="0"/>
        <w:spacing w:beforeAutospacing="0" w:afterAutospacing="0"/>
        <w:jc w:val="center"/>
        <w:rPr>
          <w:rStyle w:val="7"/>
          <w:rFonts w:hint="eastAsia" w:ascii="方正小标宋_GBK" w:hAnsi="宋体" w:eastAsia="方正小标宋_GBK" w:cs="宋体"/>
          <w:b w:val="0"/>
          <w:sz w:val="44"/>
          <w:szCs w:val="44"/>
        </w:rPr>
      </w:pPr>
    </w:p>
    <w:p>
      <w:pPr>
        <w:pStyle w:val="4"/>
        <w:widowControl/>
        <w:adjustRightInd w:val="0"/>
        <w:spacing w:beforeAutospacing="0" w:afterAutospacing="0"/>
        <w:ind w:firstLine="640" w:firstLineChars="200"/>
        <w:jc w:val="both"/>
        <w:rPr>
          <w:rStyle w:val="7"/>
          <w:rFonts w:hint="eastAsia" w:ascii="方正黑体_GBK" w:hAnsi="宋体" w:eastAsia="方正黑体_GBK" w:cs="宋体"/>
          <w:b w:val="0"/>
          <w:sz w:val="32"/>
          <w:szCs w:val="32"/>
        </w:rPr>
      </w:pPr>
      <w:r>
        <w:rPr>
          <w:rStyle w:val="7"/>
          <w:rFonts w:hint="eastAsia" w:ascii="方正黑体_GBK" w:hAnsi="宋体" w:eastAsia="方正黑体_GBK" w:cs="宋体"/>
          <w:b w:val="0"/>
          <w:sz w:val="32"/>
          <w:szCs w:val="32"/>
        </w:rPr>
        <w:t>一、绩效目标分解下达情况</w:t>
      </w:r>
    </w:p>
    <w:p>
      <w:pPr>
        <w:pStyle w:val="4"/>
        <w:widowControl/>
        <w:adjustRightInd w:val="0"/>
        <w:spacing w:beforeAutospacing="0" w:afterAutospacing="0"/>
        <w:ind w:firstLine="640" w:firstLineChars="200"/>
        <w:jc w:val="both"/>
        <w:rPr>
          <w:rStyle w:val="7"/>
          <w:rFonts w:hint="eastAsia" w:ascii="方正仿宋_GBK" w:hAnsi="宋体" w:eastAsia="方正仿宋_GBK" w:cs="宋体"/>
          <w:b w:val="0"/>
          <w:bCs/>
          <w:sz w:val="32"/>
          <w:szCs w:val="32"/>
        </w:rPr>
      </w:pPr>
      <w:r>
        <w:rPr>
          <w:rStyle w:val="7"/>
          <w:rFonts w:hint="eastAsia" w:ascii="方正仿宋_GBK" w:hAnsi="宋体" w:eastAsia="方正仿宋_GBK" w:cs="宋体"/>
          <w:b w:val="0"/>
          <w:bCs/>
          <w:sz w:val="32"/>
          <w:szCs w:val="32"/>
        </w:rPr>
        <w:t>区级资金安排、分解下达预算和绩效目标情况，蟠龙镇基础设施建设类经费区财政下达308.45元。绩效目标是增加基础设施，改善乡村人居环境等。</w:t>
      </w:r>
    </w:p>
    <w:p>
      <w:pPr>
        <w:pStyle w:val="4"/>
        <w:widowControl/>
        <w:adjustRightInd w:val="0"/>
        <w:spacing w:beforeAutospacing="0" w:afterAutospacing="0"/>
        <w:ind w:firstLine="640" w:firstLineChars="200"/>
        <w:jc w:val="both"/>
        <w:rPr>
          <w:rStyle w:val="7"/>
          <w:rFonts w:hint="eastAsia" w:ascii="方正黑体_GBK" w:hAnsi="宋体" w:eastAsia="方正黑体_GBK" w:cs="宋体"/>
          <w:b w:val="0"/>
          <w:sz w:val="32"/>
          <w:szCs w:val="32"/>
        </w:rPr>
      </w:pPr>
      <w:r>
        <w:rPr>
          <w:rStyle w:val="7"/>
          <w:rFonts w:hint="eastAsia" w:ascii="方正黑体_GBK" w:hAnsi="宋体" w:eastAsia="方正黑体_GBK" w:cs="宋体"/>
          <w:b w:val="0"/>
          <w:sz w:val="32"/>
          <w:szCs w:val="32"/>
        </w:rPr>
        <w:t>二、绩效目标自评完成情况分析</w:t>
      </w:r>
    </w:p>
    <w:p>
      <w:pPr>
        <w:pStyle w:val="4"/>
        <w:widowControl/>
        <w:adjustRightInd w:val="0"/>
        <w:spacing w:beforeAutospacing="0" w:afterAutospacing="0"/>
        <w:ind w:firstLine="640" w:firstLineChars="200"/>
        <w:jc w:val="both"/>
        <w:rPr>
          <w:rStyle w:val="7"/>
          <w:rFonts w:hint="eastAsia" w:ascii="方正仿宋_GBK" w:hAnsi="宋体" w:eastAsia="方正仿宋_GBK" w:cs="宋体"/>
          <w:b w:val="0"/>
          <w:bCs/>
          <w:sz w:val="32"/>
          <w:szCs w:val="32"/>
        </w:rPr>
      </w:pPr>
      <w:r>
        <w:rPr>
          <w:rStyle w:val="7"/>
          <w:rFonts w:hint="eastAsia" w:ascii="方正楷体_GBK" w:hAnsi="宋体" w:eastAsia="方正楷体_GBK" w:cs="宋体"/>
          <w:b w:val="0"/>
          <w:sz w:val="32"/>
          <w:szCs w:val="32"/>
        </w:rPr>
        <w:t>（一）资金投入情况分析</w:t>
      </w:r>
      <w:r>
        <w:rPr>
          <w:rStyle w:val="7"/>
          <w:rFonts w:hint="eastAsia" w:ascii="方正楷体_GBK" w:hAnsi="宋体" w:eastAsia="方正楷体_GBK" w:cs="宋体"/>
          <w:b w:val="0"/>
          <w:bCs/>
          <w:sz w:val="32"/>
          <w:szCs w:val="32"/>
        </w:rPr>
        <w:t>。</w:t>
      </w:r>
      <w:r>
        <w:rPr>
          <w:rStyle w:val="7"/>
          <w:rFonts w:hint="eastAsia" w:ascii="方正仿宋_GBK" w:hAnsi="宋体" w:eastAsia="方正仿宋_GBK" w:cs="宋体"/>
          <w:b w:val="0"/>
          <w:bCs/>
          <w:sz w:val="32"/>
          <w:szCs w:val="32"/>
        </w:rPr>
        <w:t>1.项目资金到位情况分析。2020年财政基础设施专项资金到位308.45万元，其中：（1）村社区交通和公共安全设施14.5万元；（2）村社区公共安全设施建设13.82万元；（3）村社区养老托养院建设52.74万元；（4）农村垃圾清运、污水管网108.25万元；（5）村级一事一议的农村公路建设115.42万元；（6）公路养护3.72万元。2.项目资金执行情况分析。</w:t>
      </w:r>
      <w:r>
        <w:rPr>
          <w:rStyle w:val="7"/>
          <w:rFonts w:hint="eastAsia" w:ascii="方正仿宋_GBK" w:hAnsi="宋体" w:eastAsia="方正仿宋_GBK" w:cs="宋体"/>
          <w:b w:val="0"/>
          <w:bCs/>
          <w:sz w:val="32"/>
          <w:szCs w:val="32"/>
          <w:lang w:eastAsia="zh-CN"/>
        </w:rPr>
        <w:t>截至目前</w:t>
      </w:r>
      <w:r>
        <w:rPr>
          <w:rStyle w:val="7"/>
          <w:rFonts w:hint="eastAsia" w:ascii="方正仿宋_GBK" w:hAnsi="宋体" w:eastAsia="方正仿宋_GBK" w:cs="宋体"/>
          <w:b w:val="0"/>
          <w:bCs/>
          <w:sz w:val="32"/>
          <w:szCs w:val="32"/>
        </w:rPr>
        <w:t>实际总支出为308.45万元，已全部支付完毕。3．项目资金管理情况分析。严格按照相应的业务管理制度，做到了资金使用规范，符合国家财经法规和财务管理以及有关专项资金管理办法的规定；资金的拨付有完整的审批程序和手续，不存在截留、挤占、挪用、虚列支出等情况，会计核算准确、财务资料完整。</w:t>
      </w:r>
    </w:p>
    <w:p>
      <w:pPr>
        <w:pStyle w:val="4"/>
        <w:widowControl/>
        <w:adjustRightInd w:val="0"/>
        <w:spacing w:beforeAutospacing="0" w:afterAutospacing="0"/>
        <w:ind w:firstLine="640" w:firstLineChars="200"/>
        <w:jc w:val="both"/>
        <w:rPr>
          <w:rStyle w:val="7"/>
          <w:rFonts w:hint="eastAsia" w:ascii="方正仿宋_GBK" w:hAnsi="宋体" w:eastAsia="方正仿宋_GBK" w:cs="宋体"/>
          <w:b w:val="0"/>
          <w:bCs/>
          <w:sz w:val="32"/>
          <w:szCs w:val="32"/>
        </w:rPr>
      </w:pPr>
      <w:r>
        <w:rPr>
          <w:rStyle w:val="7"/>
          <w:rFonts w:hint="eastAsia" w:ascii="方正楷体_GBK" w:hAnsi="宋体" w:eastAsia="方正楷体_GBK" w:cs="宋体"/>
          <w:b w:val="0"/>
          <w:sz w:val="32"/>
          <w:szCs w:val="32"/>
        </w:rPr>
        <w:t>（二）绩效目标完成情况分析。</w:t>
      </w:r>
      <w:r>
        <w:rPr>
          <w:rStyle w:val="7"/>
          <w:rFonts w:hint="eastAsia" w:ascii="方正仿宋_GBK" w:hAnsi="宋体" w:eastAsia="方正仿宋_GBK" w:cs="宋体"/>
          <w:b w:val="0"/>
          <w:bCs/>
          <w:sz w:val="32"/>
          <w:szCs w:val="32"/>
        </w:rPr>
        <w:t>1.产出指标完成情况分析。（1）数量指标完成情况分析。涉及项目为污水管网建设950米、农村一事一议道路硬化建设4000米、村社区公共安全设施、设备和村社区养老托养院建设、农村道路养护37.2公里。（2）质量指标完成情况为改善乡村的基础设施设备。（3）时效指标完成情况分析。2020年全年已经完成基础设施设备的各项工作任务。（4）成本指标完成情况分析。我单位较好地完成了2020年初设定的工作任务，各项工作得到有序开展。资金使用率达到100%。2.效益指标完成情况分析。（1）经济效益完成情况分析。 2020年完成308.45万元基础设施设备经费的使用，增加各项基础设施和设备。（2）社会效益完成情况分析。改善居民生产生活条件，市民反应良好。（3）生态效益完成情况分析。改善环境条件，有效地促进生态发展。（4）可持续影响是当年全年保持的连续性。3.可进一步推进乡村环境持续发展。4.满意度指标完成情况分析。群众满意度明显提升。</w:t>
      </w:r>
    </w:p>
    <w:p>
      <w:pPr>
        <w:pStyle w:val="4"/>
        <w:widowControl/>
        <w:adjustRightInd w:val="0"/>
        <w:spacing w:beforeAutospacing="0" w:afterAutospacing="0"/>
        <w:ind w:firstLine="640" w:firstLineChars="200"/>
        <w:jc w:val="both"/>
        <w:rPr>
          <w:rStyle w:val="7"/>
          <w:rFonts w:hint="eastAsia" w:ascii="方正黑体_GBK" w:hAnsi="宋体" w:eastAsia="方正黑体_GBK" w:cs="宋体"/>
          <w:b w:val="0"/>
          <w:sz w:val="32"/>
          <w:szCs w:val="32"/>
        </w:rPr>
      </w:pPr>
      <w:r>
        <w:rPr>
          <w:rStyle w:val="7"/>
          <w:rFonts w:hint="eastAsia" w:ascii="方正黑体_GBK" w:hAnsi="宋体" w:eastAsia="方正黑体_GBK" w:cs="宋体"/>
          <w:b w:val="0"/>
          <w:sz w:val="32"/>
          <w:szCs w:val="32"/>
        </w:rPr>
        <w:t>三、偏离绩效目标的原因和下一步改进措施</w:t>
      </w:r>
    </w:p>
    <w:p>
      <w:pPr>
        <w:pStyle w:val="4"/>
        <w:widowControl/>
        <w:adjustRightInd w:val="0"/>
        <w:spacing w:beforeAutospacing="0" w:afterAutospacing="0"/>
        <w:ind w:firstLine="640" w:firstLineChars="200"/>
        <w:jc w:val="both"/>
        <w:rPr>
          <w:rStyle w:val="7"/>
          <w:rFonts w:hint="eastAsia" w:ascii="方正仿宋_GBK" w:hAnsi="宋体" w:eastAsia="方正仿宋_GBK" w:cs="宋体"/>
          <w:b w:val="0"/>
          <w:bCs/>
          <w:sz w:val="32"/>
          <w:szCs w:val="32"/>
        </w:rPr>
      </w:pPr>
      <w:r>
        <w:rPr>
          <w:rStyle w:val="7"/>
          <w:rFonts w:hint="eastAsia" w:ascii="方正仿宋_GBK" w:hAnsi="宋体" w:eastAsia="方正仿宋_GBK" w:cs="宋体"/>
          <w:b w:val="0"/>
          <w:bCs/>
          <w:sz w:val="32"/>
          <w:szCs w:val="32"/>
        </w:rPr>
        <w:t>2020年基础设施建设绩效目标明确，所有指标没有偏离绩效目标，各项绩效指标项目经费全部使用完毕，确保了我镇基础设施建设各项工作有序进行。</w:t>
      </w:r>
    </w:p>
    <w:p>
      <w:pPr>
        <w:pStyle w:val="4"/>
        <w:widowControl/>
        <w:adjustRightInd w:val="0"/>
        <w:spacing w:beforeAutospacing="0" w:afterAutospacing="0"/>
        <w:ind w:firstLine="640" w:firstLineChars="200"/>
        <w:jc w:val="both"/>
        <w:rPr>
          <w:rStyle w:val="7"/>
          <w:rFonts w:hint="eastAsia" w:ascii="方正黑体_GBK" w:hAnsi="宋体" w:eastAsia="方正黑体_GBK" w:cs="宋体"/>
          <w:b w:val="0"/>
          <w:sz w:val="32"/>
          <w:szCs w:val="32"/>
        </w:rPr>
      </w:pPr>
      <w:r>
        <w:rPr>
          <w:rStyle w:val="7"/>
          <w:rFonts w:hint="eastAsia" w:ascii="方正黑体_GBK" w:hAnsi="宋体" w:eastAsia="方正黑体_GBK" w:cs="宋体"/>
          <w:b w:val="0"/>
          <w:sz w:val="32"/>
          <w:szCs w:val="32"/>
        </w:rPr>
        <w:t>四、绩效自评结果拟应用和公开情况</w:t>
      </w:r>
    </w:p>
    <w:p>
      <w:pPr>
        <w:pStyle w:val="4"/>
        <w:widowControl/>
        <w:adjustRightInd w:val="0"/>
        <w:spacing w:beforeAutospacing="0" w:afterAutospacing="0"/>
        <w:ind w:firstLine="640" w:firstLineChars="200"/>
        <w:jc w:val="both"/>
        <w:rPr>
          <w:rStyle w:val="7"/>
          <w:rFonts w:hint="eastAsia" w:ascii="方正仿宋_GBK" w:hAnsi="宋体" w:eastAsia="方正仿宋_GBK" w:cs="宋体"/>
          <w:b w:val="0"/>
          <w:bCs/>
          <w:sz w:val="32"/>
          <w:szCs w:val="32"/>
        </w:rPr>
      </w:pPr>
      <w:r>
        <w:rPr>
          <w:rStyle w:val="7"/>
          <w:rFonts w:hint="eastAsia" w:ascii="方正仿宋_GBK" w:hAnsi="宋体" w:eastAsia="方正仿宋_GBK" w:cs="宋体"/>
          <w:b w:val="0"/>
          <w:bCs/>
          <w:sz w:val="32"/>
          <w:szCs w:val="32"/>
        </w:rPr>
        <w:t>自评结果将作为以后年度项目预算重要参考依据，并根据（梁平财发〔2021〕253号）文件精神，经镇政府预算公开评审、报镇人大后随同部门决算向社会公开。</w:t>
      </w:r>
    </w:p>
    <w:p>
      <w:pPr>
        <w:pStyle w:val="4"/>
        <w:widowControl/>
        <w:adjustRightInd w:val="0"/>
        <w:spacing w:beforeAutospacing="0" w:afterAutospacing="0"/>
        <w:ind w:firstLine="642" w:firstLineChars="200"/>
        <w:jc w:val="both"/>
        <w:rPr>
          <w:rStyle w:val="7"/>
          <w:rFonts w:hint="eastAsia" w:ascii="方正仿宋_GBK" w:hAnsi="宋体" w:eastAsia="方正仿宋_GBK" w:cs="宋体"/>
          <w:sz w:val="32"/>
          <w:szCs w:val="32"/>
        </w:rPr>
      </w:pPr>
    </w:p>
    <w:p>
      <w:pPr>
        <w:pStyle w:val="4"/>
        <w:widowControl/>
        <w:adjustRightInd w:val="0"/>
        <w:spacing w:beforeAutospacing="0" w:afterAutospacing="0"/>
        <w:ind w:firstLine="640" w:firstLineChars="200"/>
        <w:jc w:val="both"/>
        <w:rPr>
          <w:rStyle w:val="7"/>
          <w:rFonts w:hint="eastAsia" w:ascii="方正仿宋_GBK" w:hAnsi="宋体" w:eastAsia="方正仿宋_GBK" w:cs="宋体"/>
          <w:b w:val="0"/>
          <w:sz w:val="32"/>
          <w:szCs w:val="32"/>
        </w:rPr>
      </w:pPr>
      <w:r>
        <w:rPr>
          <w:rStyle w:val="7"/>
          <w:rFonts w:hint="eastAsia" w:ascii="方正仿宋_GBK" w:hAnsi="宋体" w:eastAsia="方正仿宋_GBK" w:cs="宋体"/>
          <w:b w:val="0"/>
          <w:sz w:val="32"/>
          <w:szCs w:val="32"/>
        </w:rPr>
        <w:t>（3）生态环保类经费支出资金绩效自评报告</w:t>
      </w:r>
    </w:p>
    <w:p>
      <w:pPr>
        <w:pStyle w:val="4"/>
        <w:widowControl/>
        <w:adjustRightInd w:val="0"/>
        <w:spacing w:beforeAutospacing="0" w:afterAutospacing="0"/>
        <w:ind w:firstLine="642" w:firstLineChars="200"/>
        <w:jc w:val="both"/>
        <w:rPr>
          <w:rStyle w:val="7"/>
          <w:rFonts w:hint="eastAsia" w:ascii="方正仿宋_GBK" w:hAnsi="宋体" w:eastAsia="方正仿宋_GBK" w:cs="宋体"/>
          <w:sz w:val="32"/>
          <w:szCs w:val="32"/>
        </w:rPr>
      </w:pPr>
    </w:p>
    <w:p>
      <w:pPr>
        <w:pStyle w:val="4"/>
        <w:widowControl/>
        <w:adjustRightInd w:val="0"/>
        <w:snapToGrid w:val="0"/>
        <w:spacing w:beforeAutospacing="0" w:afterAutospacing="0"/>
        <w:jc w:val="center"/>
        <w:rPr>
          <w:rStyle w:val="7"/>
          <w:rFonts w:hint="eastAsia" w:ascii="方正小标宋_GBK" w:hAnsi="宋体" w:eastAsia="方正小标宋_GBK" w:cs="宋体"/>
          <w:b w:val="0"/>
          <w:sz w:val="44"/>
          <w:szCs w:val="44"/>
        </w:rPr>
      </w:pPr>
      <w:r>
        <w:rPr>
          <w:rStyle w:val="7"/>
          <w:rFonts w:hint="eastAsia" w:ascii="方正小标宋_GBK" w:hAnsi="宋体" w:eastAsia="方正小标宋_GBK" w:cs="宋体"/>
          <w:b w:val="0"/>
          <w:sz w:val="44"/>
          <w:szCs w:val="44"/>
        </w:rPr>
        <w:t>重庆市梁平区蟠龙镇生态环保类经费支出资金绩效自评报告</w:t>
      </w:r>
    </w:p>
    <w:p>
      <w:pPr>
        <w:pStyle w:val="4"/>
        <w:widowControl/>
        <w:adjustRightInd w:val="0"/>
        <w:snapToGrid w:val="0"/>
        <w:spacing w:beforeAutospacing="0" w:afterAutospacing="0"/>
        <w:jc w:val="center"/>
        <w:rPr>
          <w:rStyle w:val="7"/>
          <w:rFonts w:hint="eastAsia" w:ascii="方正小标宋_GBK" w:hAnsi="宋体" w:eastAsia="方正小标宋_GBK" w:cs="宋体"/>
          <w:b w:val="0"/>
          <w:sz w:val="44"/>
          <w:szCs w:val="44"/>
        </w:rPr>
      </w:pPr>
    </w:p>
    <w:p>
      <w:pPr>
        <w:pStyle w:val="4"/>
        <w:widowControl/>
        <w:adjustRightInd w:val="0"/>
        <w:spacing w:beforeAutospacing="0" w:afterAutospacing="0"/>
        <w:ind w:firstLine="640" w:firstLineChars="200"/>
        <w:jc w:val="both"/>
        <w:rPr>
          <w:rStyle w:val="7"/>
          <w:rFonts w:hint="eastAsia" w:ascii="方正黑体_GBK" w:hAnsi="宋体" w:eastAsia="方正黑体_GBK" w:cs="宋体"/>
          <w:b w:val="0"/>
          <w:sz w:val="32"/>
          <w:szCs w:val="32"/>
        </w:rPr>
      </w:pPr>
      <w:r>
        <w:rPr>
          <w:rStyle w:val="7"/>
          <w:rFonts w:hint="eastAsia" w:ascii="方正黑体_GBK" w:hAnsi="宋体" w:eastAsia="方正黑体_GBK" w:cs="宋体"/>
          <w:b w:val="0"/>
          <w:sz w:val="32"/>
          <w:szCs w:val="32"/>
        </w:rPr>
        <w:t>一、绩效目标分解下达情况</w:t>
      </w:r>
    </w:p>
    <w:p>
      <w:pPr>
        <w:pStyle w:val="4"/>
        <w:widowControl/>
        <w:adjustRightInd w:val="0"/>
        <w:spacing w:beforeAutospacing="0" w:afterAutospacing="0"/>
        <w:ind w:firstLine="640" w:firstLineChars="200"/>
        <w:jc w:val="both"/>
        <w:rPr>
          <w:rStyle w:val="7"/>
          <w:rFonts w:hint="eastAsia" w:ascii="方正仿宋_GBK" w:hAnsi="宋体" w:eastAsia="方正仿宋_GBK" w:cs="宋体"/>
          <w:sz w:val="32"/>
          <w:szCs w:val="32"/>
        </w:rPr>
      </w:pPr>
      <w:r>
        <w:rPr>
          <w:rStyle w:val="7"/>
          <w:rFonts w:hint="eastAsia" w:ascii="方正仿宋_GBK" w:hAnsi="宋体" w:eastAsia="方正仿宋_GBK" w:cs="宋体"/>
          <w:b w:val="0"/>
          <w:bCs/>
          <w:sz w:val="32"/>
          <w:szCs w:val="32"/>
        </w:rPr>
        <w:t>区级资金安排、分解下达预算和绩效目标情况。2020年区级财政安排下达生态环保资金152.71万元。绩效目标是改善农村环保条件，提升农村生活品质等。</w:t>
      </w:r>
    </w:p>
    <w:p>
      <w:pPr>
        <w:pStyle w:val="4"/>
        <w:widowControl/>
        <w:adjustRightInd w:val="0"/>
        <w:spacing w:beforeAutospacing="0" w:afterAutospacing="0"/>
        <w:ind w:firstLine="640" w:firstLineChars="200"/>
        <w:jc w:val="both"/>
        <w:rPr>
          <w:rStyle w:val="7"/>
          <w:rFonts w:hint="eastAsia" w:ascii="方正黑体_GBK" w:hAnsi="宋体" w:eastAsia="方正黑体_GBK" w:cs="宋体"/>
          <w:b w:val="0"/>
          <w:sz w:val="32"/>
          <w:szCs w:val="32"/>
        </w:rPr>
      </w:pPr>
      <w:r>
        <w:rPr>
          <w:rStyle w:val="7"/>
          <w:rFonts w:hint="eastAsia" w:ascii="方正黑体_GBK" w:hAnsi="宋体" w:eastAsia="方正黑体_GBK" w:cs="宋体"/>
          <w:b w:val="0"/>
          <w:sz w:val="32"/>
          <w:szCs w:val="32"/>
        </w:rPr>
        <w:t>二、绩效目标自评完成情况分析</w:t>
      </w:r>
    </w:p>
    <w:p>
      <w:pPr>
        <w:pStyle w:val="4"/>
        <w:widowControl/>
        <w:adjustRightInd w:val="0"/>
        <w:spacing w:beforeAutospacing="0" w:afterAutospacing="0"/>
        <w:ind w:firstLine="640" w:firstLineChars="200"/>
        <w:jc w:val="both"/>
        <w:rPr>
          <w:rStyle w:val="7"/>
          <w:rFonts w:hint="eastAsia" w:ascii="方正仿宋_GBK" w:hAnsi="宋体" w:eastAsia="方正仿宋_GBK" w:cs="宋体"/>
          <w:b w:val="0"/>
          <w:bCs/>
          <w:sz w:val="32"/>
          <w:szCs w:val="32"/>
        </w:rPr>
      </w:pPr>
      <w:r>
        <w:rPr>
          <w:rStyle w:val="7"/>
          <w:rFonts w:hint="eastAsia" w:ascii="方正楷体_GBK" w:hAnsi="宋体" w:eastAsia="方正楷体_GBK" w:cs="宋体"/>
          <w:b w:val="0"/>
          <w:bCs/>
          <w:sz w:val="32"/>
          <w:szCs w:val="32"/>
        </w:rPr>
        <w:t>（一）资金投入情况分析。</w:t>
      </w:r>
      <w:r>
        <w:rPr>
          <w:rStyle w:val="7"/>
          <w:rFonts w:hint="eastAsia" w:ascii="方正仿宋_GBK" w:hAnsi="宋体" w:eastAsia="方正仿宋_GBK" w:cs="宋体"/>
          <w:b w:val="0"/>
          <w:bCs/>
          <w:sz w:val="32"/>
          <w:szCs w:val="32"/>
        </w:rPr>
        <w:t>1．项目资金到位情况分析。2020年财政生态环保类专项资金到位152.74万元，其中：（1）污水处理防治费1.39万元；（2）防治污染物垃圾分类费11.22万元；（3）小城镇基础设施垃圾桶购置费1.22万元；（4）农村改侧补助支出38万元；（5）植树造林、森林抚育支出37.5万元；（6）天然林管护人员补助费13.38万元；（7）森林松线虫防治费50万元；2.项目资金执行情况分析。</w:t>
      </w:r>
      <w:r>
        <w:rPr>
          <w:rStyle w:val="7"/>
          <w:rFonts w:hint="eastAsia" w:ascii="方正仿宋_GBK" w:hAnsi="宋体" w:eastAsia="方正仿宋_GBK" w:cs="宋体"/>
          <w:b w:val="0"/>
          <w:bCs/>
          <w:sz w:val="32"/>
          <w:szCs w:val="32"/>
          <w:lang w:eastAsia="zh-CN"/>
        </w:rPr>
        <w:t>截至目前</w:t>
      </w:r>
      <w:r>
        <w:rPr>
          <w:rStyle w:val="7"/>
          <w:rFonts w:hint="eastAsia" w:ascii="方正仿宋_GBK" w:hAnsi="宋体" w:eastAsia="方正仿宋_GBK" w:cs="宋体"/>
          <w:b w:val="0"/>
          <w:bCs/>
          <w:sz w:val="32"/>
          <w:szCs w:val="32"/>
        </w:rPr>
        <w:t>实际总支出为152.74万元，已全部支付完毕。3．项目资金管理情况分析。严格按照相应的业务管理制度，做到了资金使用规范，符合国家财经法规和财务管理以及有关专项资金管理办法的规定；资金的拨付有完整的审批程序和手续，不存在截留、挤占、挪用、虚列支出等情况，会计核算准确、财务资料完整。</w:t>
      </w:r>
    </w:p>
    <w:p>
      <w:pPr>
        <w:pStyle w:val="4"/>
        <w:widowControl/>
        <w:adjustRightInd w:val="0"/>
        <w:spacing w:beforeAutospacing="0" w:afterAutospacing="0"/>
        <w:ind w:firstLine="640" w:firstLineChars="200"/>
        <w:jc w:val="both"/>
        <w:rPr>
          <w:rStyle w:val="7"/>
          <w:rFonts w:hint="eastAsia" w:ascii="方正仿宋_GBK" w:hAnsi="宋体" w:eastAsia="方正仿宋_GBK" w:cs="宋体"/>
          <w:b w:val="0"/>
          <w:bCs/>
          <w:sz w:val="32"/>
          <w:szCs w:val="32"/>
        </w:rPr>
      </w:pPr>
      <w:r>
        <w:rPr>
          <w:rStyle w:val="7"/>
          <w:rFonts w:hint="eastAsia" w:ascii="方正楷体_GBK" w:hAnsi="宋体" w:eastAsia="方正楷体_GBK" w:cs="宋体"/>
          <w:b w:val="0"/>
          <w:bCs/>
          <w:sz w:val="32"/>
          <w:szCs w:val="32"/>
        </w:rPr>
        <w:t>（二）绩效目标完成情况分析。</w:t>
      </w:r>
      <w:r>
        <w:rPr>
          <w:rStyle w:val="7"/>
          <w:rFonts w:hint="eastAsia" w:ascii="方正仿宋_GBK" w:hAnsi="宋体" w:eastAsia="方正仿宋_GBK" w:cs="宋体"/>
          <w:b w:val="0"/>
          <w:bCs/>
          <w:sz w:val="32"/>
          <w:szCs w:val="32"/>
        </w:rPr>
        <w:t>1.产出指标完成情况分析。（1）数量指标完成情况分析。农村综合清扫保洁、植树造林、绿化抚育和森林管护、松材线虫除治、垃圾分类、农村改厕。（2）质量指标完成情况分析。保持农村环境美化、绿化、亮化和清洁卫生（3）时效指标完成情况分析。2020年全年完成生态环保方面各项工作任务。（4）成本指标完成情况分析。我单位较好地完成了2020年初设定的工作任务，各项工作得到有序开展。资金使用率达到100%。2.效益指标完成情况分析。（1）经济效益完成情况分析。 2020年完成152.71万元生态环保经费的使用，进一步改善了农村的生态环境、有效地提高了农村的环境清洁指数。（2）社会效益完成情况分析。改善了农村生产生活环境，广大村民反应较好。（3）生态效益完成情况分析改善生态环保质量，有效地促进生态旅游经济发展。（4）可持续影响完成情况。全年保持。3.可进一步推进乡村环保经济持续健康发展。4.满意度指标完成情况分析。群众满意度明显提高。</w:t>
      </w:r>
    </w:p>
    <w:p>
      <w:pPr>
        <w:pStyle w:val="4"/>
        <w:widowControl/>
        <w:adjustRightInd w:val="0"/>
        <w:spacing w:beforeAutospacing="0" w:afterAutospacing="0"/>
        <w:ind w:firstLine="640" w:firstLineChars="200"/>
        <w:jc w:val="both"/>
        <w:rPr>
          <w:rStyle w:val="7"/>
          <w:rFonts w:hint="eastAsia" w:ascii="方正黑体_GBK" w:hAnsi="宋体" w:eastAsia="方正黑体_GBK" w:cs="宋体"/>
          <w:b w:val="0"/>
          <w:sz w:val="32"/>
          <w:szCs w:val="32"/>
        </w:rPr>
      </w:pPr>
      <w:r>
        <w:rPr>
          <w:rStyle w:val="7"/>
          <w:rFonts w:hint="eastAsia" w:ascii="方正黑体_GBK" w:hAnsi="宋体" w:eastAsia="方正黑体_GBK" w:cs="宋体"/>
          <w:b w:val="0"/>
          <w:sz w:val="32"/>
          <w:szCs w:val="32"/>
        </w:rPr>
        <w:t>三、偏离绩效目标的原因和下一步改进措施</w:t>
      </w:r>
    </w:p>
    <w:p>
      <w:pPr>
        <w:pStyle w:val="4"/>
        <w:widowControl/>
        <w:adjustRightInd w:val="0"/>
        <w:spacing w:beforeAutospacing="0" w:afterAutospacing="0"/>
        <w:ind w:firstLine="640" w:firstLineChars="200"/>
        <w:jc w:val="both"/>
        <w:rPr>
          <w:rStyle w:val="7"/>
          <w:rFonts w:hint="eastAsia" w:ascii="方正仿宋_GBK" w:hAnsi="宋体" w:eastAsia="方正仿宋_GBK" w:cs="宋体"/>
          <w:b w:val="0"/>
          <w:bCs/>
          <w:sz w:val="32"/>
          <w:szCs w:val="32"/>
        </w:rPr>
      </w:pPr>
      <w:r>
        <w:rPr>
          <w:rStyle w:val="7"/>
          <w:rFonts w:hint="eastAsia" w:ascii="方正仿宋_GBK" w:hAnsi="宋体" w:eastAsia="方正仿宋_GBK" w:cs="宋体"/>
          <w:b w:val="0"/>
          <w:bCs/>
          <w:sz w:val="32"/>
          <w:szCs w:val="32"/>
        </w:rPr>
        <w:t>2020年生态环保绩效目标明确，所有指标没有偏离绩效目标，各项绩效指标项目经费全部使用完毕，确保了我镇生态环保各项工作有序进行。</w:t>
      </w:r>
    </w:p>
    <w:p>
      <w:pPr>
        <w:pStyle w:val="4"/>
        <w:widowControl/>
        <w:adjustRightInd w:val="0"/>
        <w:spacing w:beforeAutospacing="0" w:afterAutospacing="0"/>
        <w:ind w:firstLine="640" w:firstLineChars="200"/>
        <w:jc w:val="both"/>
        <w:rPr>
          <w:rStyle w:val="7"/>
          <w:rFonts w:hint="eastAsia" w:ascii="方正黑体_GBK" w:hAnsi="宋体" w:eastAsia="方正黑体_GBK" w:cs="宋体"/>
          <w:b w:val="0"/>
          <w:sz w:val="32"/>
          <w:szCs w:val="32"/>
        </w:rPr>
      </w:pPr>
      <w:r>
        <w:rPr>
          <w:rStyle w:val="7"/>
          <w:rFonts w:hint="eastAsia" w:ascii="方正黑体_GBK" w:hAnsi="宋体" w:eastAsia="方正黑体_GBK" w:cs="宋体"/>
          <w:b w:val="0"/>
          <w:sz w:val="32"/>
          <w:szCs w:val="32"/>
        </w:rPr>
        <w:t>四、绩效自评结果拟应用和公开情况</w:t>
      </w:r>
    </w:p>
    <w:p>
      <w:pPr>
        <w:pStyle w:val="4"/>
        <w:widowControl/>
        <w:adjustRightInd w:val="0"/>
        <w:spacing w:beforeAutospacing="0" w:afterAutospacing="0"/>
        <w:ind w:firstLine="640" w:firstLineChars="200"/>
        <w:jc w:val="both"/>
        <w:rPr>
          <w:rStyle w:val="7"/>
          <w:rFonts w:hint="eastAsia" w:ascii="方正仿宋_GBK" w:hAnsi="宋体" w:eastAsia="方正仿宋_GBK" w:cs="宋体"/>
          <w:b w:val="0"/>
          <w:bCs/>
          <w:sz w:val="32"/>
          <w:szCs w:val="32"/>
        </w:rPr>
      </w:pPr>
      <w:r>
        <w:rPr>
          <w:rStyle w:val="7"/>
          <w:rFonts w:hint="eastAsia" w:ascii="方正仿宋_GBK" w:hAnsi="宋体" w:eastAsia="方正仿宋_GBK" w:cs="宋体"/>
          <w:b w:val="0"/>
          <w:bCs/>
          <w:sz w:val="32"/>
          <w:szCs w:val="32"/>
        </w:rPr>
        <w:t>自评结果将作为以后年度项目预算重要参考依据，并根据（梁平财发〔2021〕253号）文件精神，经镇政府预算公开评审、报镇人大后随同部门决算向社会公开。</w:t>
      </w:r>
    </w:p>
    <w:p>
      <w:pPr>
        <w:pStyle w:val="4"/>
        <w:widowControl/>
        <w:adjustRightInd w:val="0"/>
        <w:spacing w:beforeAutospacing="0" w:afterAutospacing="0"/>
        <w:ind w:firstLine="642" w:firstLineChars="200"/>
        <w:jc w:val="both"/>
        <w:rPr>
          <w:rStyle w:val="7"/>
          <w:rFonts w:hint="eastAsia" w:ascii="方正仿宋_GBK" w:hAnsi="宋体" w:eastAsia="方正仿宋_GBK" w:cs="宋体"/>
          <w:sz w:val="32"/>
          <w:szCs w:val="32"/>
        </w:rPr>
      </w:pPr>
    </w:p>
    <w:p>
      <w:pPr>
        <w:pStyle w:val="4"/>
        <w:widowControl/>
        <w:adjustRightInd w:val="0"/>
        <w:spacing w:beforeAutospacing="0" w:afterAutospacing="0"/>
        <w:ind w:firstLine="640" w:firstLineChars="200"/>
        <w:jc w:val="both"/>
        <w:rPr>
          <w:rStyle w:val="7"/>
          <w:rFonts w:hint="eastAsia" w:ascii="方正仿宋_GBK" w:hAnsi="宋体" w:eastAsia="方正仿宋_GBK" w:cs="宋体"/>
          <w:b w:val="0"/>
          <w:sz w:val="32"/>
          <w:szCs w:val="32"/>
        </w:rPr>
      </w:pPr>
      <w:r>
        <w:rPr>
          <w:rStyle w:val="7"/>
          <w:rFonts w:hint="eastAsia" w:ascii="方正仿宋_GBK" w:hAnsi="宋体" w:eastAsia="方正仿宋_GBK" w:cs="宋体"/>
          <w:b w:val="0"/>
          <w:sz w:val="32"/>
          <w:szCs w:val="32"/>
        </w:rPr>
        <w:t>（4）社会保障类经费支出资金绩效自评报告</w:t>
      </w:r>
    </w:p>
    <w:p>
      <w:pPr>
        <w:pStyle w:val="4"/>
        <w:widowControl/>
        <w:adjustRightInd w:val="0"/>
        <w:spacing w:beforeAutospacing="0" w:afterAutospacing="0"/>
        <w:ind w:firstLine="642" w:firstLineChars="200"/>
        <w:jc w:val="both"/>
        <w:rPr>
          <w:rStyle w:val="7"/>
          <w:rFonts w:hint="eastAsia" w:ascii="方正仿宋_GBK" w:hAnsi="宋体" w:eastAsia="方正仿宋_GBK" w:cs="宋体"/>
          <w:sz w:val="32"/>
          <w:szCs w:val="32"/>
        </w:rPr>
      </w:pPr>
    </w:p>
    <w:p>
      <w:pPr>
        <w:pStyle w:val="4"/>
        <w:widowControl/>
        <w:adjustRightInd w:val="0"/>
        <w:snapToGrid w:val="0"/>
        <w:spacing w:beforeAutospacing="0" w:afterAutospacing="0"/>
        <w:jc w:val="center"/>
        <w:rPr>
          <w:rStyle w:val="7"/>
          <w:rFonts w:hint="eastAsia" w:ascii="方正小标宋_GBK" w:hAnsi="宋体" w:eastAsia="方正小标宋_GBK" w:cs="宋体"/>
          <w:b w:val="0"/>
          <w:sz w:val="44"/>
          <w:szCs w:val="44"/>
        </w:rPr>
      </w:pPr>
      <w:r>
        <w:rPr>
          <w:rStyle w:val="7"/>
          <w:rFonts w:hint="eastAsia" w:ascii="方正小标宋_GBK" w:hAnsi="宋体" w:eastAsia="方正小标宋_GBK" w:cs="宋体"/>
          <w:b w:val="0"/>
          <w:sz w:val="44"/>
          <w:szCs w:val="44"/>
        </w:rPr>
        <w:t>重庆市梁平区蟠龙镇社会保障类经费支出资金绩效自评报告</w:t>
      </w:r>
    </w:p>
    <w:p>
      <w:pPr>
        <w:pStyle w:val="4"/>
        <w:widowControl/>
        <w:adjustRightInd w:val="0"/>
        <w:snapToGrid w:val="0"/>
        <w:spacing w:beforeAutospacing="0" w:afterAutospacing="0"/>
        <w:jc w:val="center"/>
        <w:rPr>
          <w:rStyle w:val="7"/>
          <w:rFonts w:hint="eastAsia" w:ascii="方正小标宋_GBK" w:hAnsi="宋体" w:eastAsia="方正小标宋_GBK" w:cs="宋体"/>
          <w:b w:val="0"/>
          <w:sz w:val="44"/>
          <w:szCs w:val="44"/>
        </w:rPr>
      </w:pPr>
    </w:p>
    <w:p>
      <w:pPr>
        <w:pStyle w:val="4"/>
        <w:widowControl/>
        <w:numPr>
          <w:ilvl w:val="0"/>
          <w:numId w:val="6"/>
        </w:numPr>
        <w:adjustRightInd w:val="0"/>
        <w:spacing w:beforeAutospacing="0" w:afterAutospacing="0"/>
        <w:ind w:firstLine="640" w:firstLineChars="200"/>
        <w:jc w:val="both"/>
        <w:rPr>
          <w:rStyle w:val="7"/>
          <w:rFonts w:hint="eastAsia" w:ascii="方正黑体_GBK" w:hAnsi="宋体" w:eastAsia="方正黑体_GBK" w:cs="宋体"/>
          <w:b w:val="0"/>
          <w:bCs/>
          <w:sz w:val="32"/>
          <w:szCs w:val="32"/>
        </w:rPr>
      </w:pPr>
      <w:r>
        <w:rPr>
          <w:rStyle w:val="7"/>
          <w:rFonts w:hint="eastAsia" w:ascii="方正黑体_GBK" w:hAnsi="宋体" w:eastAsia="方正黑体_GBK" w:cs="宋体"/>
          <w:b w:val="0"/>
          <w:sz w:val="32"/>
          <w:szCs w:val="32"/>
        </w:rPr>
        <w:t>绩效目标分解下达情况</w:t>
      </w:r>
    </w:p>
    <w:p>
      <w:pPr>
        <w:pStyle w:val="4"/>
        <w:widowControl/>
        <w:adjustRightInd w:val="0"/>
        <w:spacing w:beforeAutospacing="0" w:afterAutospacing="0"/>
        <w:ind w:firstLine="640" w:firstLineChars="200"/>
        <w:jc w:val="both"/>
        <w:rPr>
          <w:rStyle w:val="7"/>
          <w:rFonts w:hint="eastAsia" w:ascii="方正仿宋_GBK" w:hAnsi="宋体" w:eastAsia="方正仿宋_GBK" w:cs="宋体"/>
          <w:b w:val="0"/>
          <w:bCs/>
          <w:sz w:val="32"/>
          <w:szCs w:val="32"/>
        </w:rPr>
      </w:pPr>
      <w:r>
        <w:rPr>
          <w:rStyle w:val="7"/>
          <w:rFonts w:hint="eastAsia" w:ascii="方正仿宋_GBK" w:hAnsi="宋体" w:eastAsia="方正仿宋_GBK" w:cs="宋体"/>
          <w:b w:val="0"/>
          <w:bCs/>
          <w:sz w:val="32"/>
          <w:szCs w:val="32"/>
        </w:rPr>
        <w:t>区级资金安排、分解下达预算和绩效目标情况。2020年区级财政安排下达社会事务类资金507.58万元。绩效目标是 提升服务质量，保证正常运转和各种保障性政策落到实处等。</w:t>
      </w:r>
    </w:p>
    <w:p>
      <w:pPr>
        <w:pStyle w:val="4"/>
        <w:widowControl/>
        <w:adjustRightInd w:val="0"/>
        <w:spacing w:beforeAutospacing="0" w:afterAutospacing="0"/>
        <w:ind w:firstLine="640" w:firstLineChars="200"/>
        <w:jc w:val="both"/>
        <w:rPr>
          <w:rStyle w:val="7"/>
          <w:rFonts w:hint="eastAsia" w:ascii="方正黑体_GBK" w:hAnsi="宋体" w:eastAsia="方正黑体_GBK" w:cs="宋体"/>
          <w:b w:val="0"/>
          <w:sz w:val="32"/>
          <w:szCs w:val="32"/>
        </w:rPr>
      </w:pPr>
      <w:r>
        <w:rPr>
          <w:rStyle w:val="7"/>
          <w:rFonts w:hint="eastAsia" w:ascii="方正黑体_GBK" w:hAnsi="宋体" w:eastAsia="方正黑体_GBK" w:cs="宋体"/>
          <w:b w:val="0"/>
          <w:sz w:val="32"/>
          <w:szCs w:val="32"/>
        </w:rPr>
        <w:t>二、绩效目标自评完成情况分析</w:t>
      </w:r>
    </w:p>
    <w:p>
      <w:pPr>
        <w:pStyle w:val="4"/>
        <w:widowControl/>
        <w:adjustRightInd w:val="0"/>
        <w:spacing w:beforeAutospacing="0" w:afterAutospacing="0"/>
        <w:ind w:firstLine="640" w:firstLineChars="200"/>
        <w:jc w:val="both"/>
        <w:rPr>
          <w:rStyle w:val="7"/>
          <w:rFonts w:hint="eastAsia" w:ascii="方正仿宋_GBK" w:hAnsi="宋体" w:eastAsia="方正仿宋_GBK" w:cs="宋体"/>
          <w:b w:val="0"/>
          <w:bCs/>
          <w:sz w:val="32"/>
          <w:szCs w:val="32"/>
        </w:rPr>
      </w:pPr>
      <w:r>
        <w:rPr>
          <w:rStyle w:val="7"/>
          <w:rFonts w:hint="eastAsia" w:ascii="方正楷体_GBK" w:hAnsi="宋体" w:eastAsia="方正楷体_GBK" w:cs="宋体"/>
          <w:b w:val="0"/>
          <w:bCs/>
          <w:sz w:val="32"/>
          <w:szCs w:val="32"/>
        </w:rPr>
        <w:t>（一）资金投入情况分析。</w:t>
      </w:r>
      <w:r>
        <w:rPr>
          <w:rStyle w:val="7"/>
          <w:rFonts w:hint="eastAsia" w:ascii="方正仿宋_GBK" w:hAnsi="宋体" w:eastAsia="方正仿宋_GBK" w:cs="宋体"/>
          <w:b w:val="0"/>
          <w:bCs/>
          <w:sz w:val="32"/>
          <w:szCs w:val="32"/>
        </w:rPr>
        <w:t>1．项目资金到位情况分析。2020年财政专项资金到位507.58万元：（1）</w:t>
      </w:r>
      <w:r>
        <w:rPr>
          <w:rStyle w:val="7"/>
          <w:rFonts w:hint="eastAsia" w:ascii="方正仿宋_GBK" w:hAnsi="宋体" w:eastAsia="方正仿宋_GBK" w:cs="宋体"/>
          <w:b w:val="0"/>
          <w:bCs/>
          <w:sz w:val="32"/>
          <w:szCs w:val="32"/>
          <w:lang w:eastAsia="zh-CN"/>
        </w:rPr>
        <w:t>“三支一扶”</w:t>
      </w:r>
      <w:r>
        <w:rPr>
          <w:rStyle w:val="7"/>
          <w:rFonts w:hint="eastAsia" w:ascii="方正仿宋_GBK" w:hAnsi="宋体" w:eastAsia="方正仿宋_GBK" w:cs="宋体"/>
          <w:b w:val="0"/>
          <w:bCs/>
          <w:sz w:val="32"/>
          <w:szCs w:val="32"/>
        </w:rPr>
        <w:t>、选调生、村官人员经费31.46万元；（2）防汛抗旱购物质经费0.5万元。（3）困难群众住房租金补贴支出0.01万元；（4）中央资金冬荒春饿自然灾害生活补助6.4万元；（5）地方财政资金冬荒春饿自然灾害生活补助5.6万元；（6）洪灾倒房重建自然灾害灾补助5万元；（7）高龄补贴费、其他困难人员慰问费支出13.61万元；（8）独生子女及困难户慰问费支出3.12万元；（9）残疾人用电补助、志愿者补助、生活补助经费支出3.42万元；（10）当年的非农户居民五困难户慰问费、五保人员经费11.38万元；（11） 当年的农村困难户慰问费、五保人员经费16.95万元；（12）退休干部死亡一次性抚恤25.64万元；（13）村两级基层政权组织建设费46.5万元；（14）村社区镇机关公益</w:t>
      </w:r>
      <w:r>
        <w:rPr>
          <w:rStyle w:val="7"/>
          <w:rFonts w:hint="eastAsia" w:ascii="方正仿宋_GBK" w:hAnsi="宋体" w:eastAsia="方正仿宋_GBK" w:cs="宋体"/>
          <w:b w:val="0"/>
          <w:bCs/>
          <w:sz w:val="32"/>
          <w:szCs w:val="32"/>
          <w:lang w:eastAsia="zh-CN"/>
        </w:rPr>
        <w:t>性</w:t>
      </w:r>
      <w:r>
        <w:rPr>
          <w:rStyle w:val="7"/>
          <w:rFonts w:hint="eastAsia" w:ascii="方正仿宋_GBK" w:hAnsi="宋体" w:eastAsia="方正仿宋_GBK" w:cs="宋体"/>
          <w:b w:val="0"/>
          <w:bCs/>
          <w:sz w:val="32"/>
          <w:szCs w:val="32"/>
        </w:rPr>
        <w:t>岗位人员经费87.49万元；（15）村社区村组干部工资、办公费、五险一金的补助支出250.5万元。2.项目资金执行情况分析。</w:t>
      </w:r>
      <w:r>
        <w:rPr>
          <w:rStyle w:val="7"/>
          <w:rFonts w:hint="eastAsia" w:ascii="方正仿宋_GBK" w:hAnsi="宋体" w:eastAsia="方正仿宋_GBK" w:cs="宋体"/>
          <w:b w:val="0"/>
          <w:bCs/>
          <w:sz w:val="32"/>
          <w:szCs w:val="32"/>
          <w:lang w:eastAsia="zh-CN"/>
        </w:rPr>
        <w:t>截至目前</w:t>
      </w:r>
      <w:r>
        <w:rPr>
          <w:rStyle w:val="7"/>
          <w:rFonts w:hint="eastAsia" w:ascii="方正仿宋_GBK" w:hAnsi="宋体" w:eastAsia="方正仿宋_GBK" w:cs="宋体"/>
          <w:b w:val="0"/>
          <w:bCs/>
          <w:sz w:val="32"/>
          <w:szCs w:val="32"/>
        </w:rPr>
        <w:t>实际总支出为507.58万元，已全部支付完毕。3．项目资金管理情况分析。严格按照相应的业务管理制度，做到了资金使用规范，符合国家财经法规和财务管理以及有关专项资金管理办法的规定；资金的拨付有完整的审批程序和手续，不存在截留、挤占、挪用、虚列支出等情况，会计核算准确、财务资料完整。</w:t>
      </w:r>
    </w:p>
    <w:p>
      <w:pPr>
        <w:pStyle w:val="4"/>
        <w:widowControl/>
        <w:adjustRightInd w:val="0"/>
        <w:spacing w:beforeAutospacing="0" w:afterAutospacing="0"/>
        <w:ind w:firstLine="640" w:firstLineChars="200"/>
        <w:jc w:val="both"/>
        <w:rPr>
          <w:rStyle w:val="7"/>
          <w:rFonts w:hint="eastAsia" w:ascii="方正仿宋_GBK" w:hAnsi="宋体" w:eastAsia="方正仿宋_GBK" w:cs="宋体"/>
          <w:b w:val="0"/>
          <w:bCs/>
          <w:sz w:val="32"/>
          <w:szCs w:val="32"/>
        </w:rPr>
      </w:pPr>
      <w:r>
        <w:rPr>
          <w:rStyle w:val="7"/>
          <w:rFonts w:hint="eastAsia" w:ascii="方正楷体_GBK" w:hAnsi="宋体" w:eastAsia="方正楷体_GBK" w:cs="宋体"/>
          <w:b w:val="0"/>
          <w:bCs/>
          <w:sz w:val="32"/>
          <w:szCs w:val="32"/>
        </w:rPr>
        <w:t>（二）绩效目标完成情况分析。</w:t>
      </w:r>
      <w:r>
        <w:rPr>
          <w:rStyle w:val="7"/>
          <w:rFonts w:hint="eastAsia" w:ascii="方正仿宋_GBK" w:hAnsi="宋体" w:eastAsia="方正仿宋_GBK" w:cs="宋体"/>
          <w:b w:val="0"/>
          <w:bCs/>
          <w:sz w:val="32"/>
          <w:szCs w:val="32"/>
        </w:rPr>
        <w:t>1.产出指标完成情况分析。（1）数量指标完成情况分析。村、社两级政权建设、抚恤、五保、救灾救济、防汛抗旱、</w:t>
      </w:r>
      <w:r>
        <w:rPr>
          <w:rStyle w:val="7"/>
          <w:rFonts w:hint="eastAsia" w:ascii="方正仿宋_GBK" w:hAnsi="宋体" w:eastAsia="方正仿宋_GBK" w:cs="宋体"/>
          <w:b w:val="0"/>
          <w:bCs/>
          <w:sz w:val="32"/>
          <w:szCs w:val="32"/>
          <w:lang w:eastAsia="zh-CN"/>
        </w:rPr>
        <w:t>“三支一扶”</w:t>
      </w:r>
      <w:r>
        <w:rPr>
          <w:rStyle w:val="7"/>
          <w:rFonts w:hint="eastAsia" w:ascii="方正仿宋_GBK" w:hAnsi="宋体" w:eastAsia="方正仿宋_GBK" w:cs="宋体"/>
          <w:b w:val="0"/>
          <w:bCs/>
          <w:sz w:val="32"/>
          <w:szCs w:val="32"/>
        </w:rPr>
        <w:t>、大学村官、公益性岗位和各种慰问。（2）质量指标完成情况分析。保持乡镇两级机构正常运转和惠民资金需要（3）时效指标完成情况分析。2020年全年完成社会保障方面各项工作任务。（4）成本指标完成情况分析。我单位较好地完成了2020年初设定的工作任务，各项工作得到有序开展。资金使用率达到100%。2.效益指标完成情况分析。（1）经济效益完成情况分析。2020年完成507.58万元工作经费的使用，增加农村幸福指数。（2）社会效益完成情况分析。保障了村社两级机构运转和各项政策的落实，效果较好。3.满意度指标完成情况分析。群众满意度明显较好。</w:t>
      </w:r>
    </w:p>
    <w:p>
      <w:pPr>
        <w:pStyle w:val="4"/>
        <w:widowControl/>
        <w:adjustRightInd w:val="0"/>
        <w:spacing w:beforeAutospacing="0" w:afterAutospacing="0"/>
        <w:ind w:firstLine="640" w:firstLineChars="200"/>
        <w:jc w:val="both"/>
        <w:rPr>
          <w:rStyle w:val="7"/>
          <w:rFonts w:hint="eastAsia" w:ascii="方正黑体_GBK" w:hAnsi="宋体" w:eastAsia="方正黑体_GBK" w:cs="宋体"/>
          <w:b w:val="0"/>
          <w:sz w:val="32"/>
          <w:szCs w:val="32"/>
        </w:rPr>
      </w:pPr>
      <w:r>
        <w:rPr>
          <w:rStyle w:val="7"/>
          <w:rFonts w:hint="eastAsia" w:ascii="方正黑体_GBK" w:hAnsi="宋体" w:eastAsia="方正黑体_GBK" w:cs="宋体"/>
          <w:b w:val="0"/>
          <w:sz w:val="32"/>
          <w:szCs w:val="32"/>
        </w:rPr>
        <w:t>三、偏离绩效目标的原因和下一步改进措施</w:t>
      </w:r>
    </w:p>
    <w:p>
      <w:pPr>
        <w:pStyle w:val="4"/>
        <w:widowControl/>
        <w:adjustRightInd w:val="0"/>
        <w:spacing w:beforeAutospacing="0" w:afterAutospacing="0"/>
        <w:ind w:firstLine="640" w:firstLineChars="200"/>
        <w:jc w:val="both"/>
        <w:rPr>
          <w:rStyle w:val="7"/>
          <w:rFonts w:hint="eastAsia" w:ascii="方正仿宋_GBK" w:hAnsi="宋体" w:eastAsia="方正仿宋_GBK" w:cs="宋体"/>
          <w:b w:val="0"/>
          <w:bCs/>
          <w:sz w:val="32"/>
          <w:szCs w:val="32"/>
        </w:rPr>
      </w:pPr>
      <w:r>
        <w:rPr>
          <w:rStyle w:val="7"/>
          <w:rFonts w:hint="eastAsia" w:ascii="方正仿宋_GBK" w:hAnsi="宋体" w:eastAsia="方正仿宋_GBK" w:cs="宋体"/>
          <w:b w:val="0"/>
          <w:bCs/>
          <w:sz w:val="32"/>
          <w:szCs w:val="32"/>
        </w:rPr>
        <w:t>2020年社会保障绩效目标明确，所有指标没有偏离绩效目标，各项绩效指标项目经费全部使用完毕，确保了我镇社会保障各项工作有序进行。</w:t>
      </w:r>
    </w:p>
    <w:p>
      <w:pPr>
        <w:pStyle w:val="4"/>
        <w:widowControl/>
        <w:adjustRightInd w:val="0"/>
        <w:spacing w:beforeAutospacing="0" w:afterAutospacing="0"/>
        <w:ind w:firstLine="640" w:firstLineChars="200"/>
        <w:jc w:val="both"/>
        <w:rPr>
          <w:rStyle w:val="7"/>
          <w:rFonts w:hint="eastAsia" w:ascii="方正黑体_GBK" w:hAnsi="宋体" w:eastAsia="方正黑体_GBK" w:cs="宋体"/>
          <w:b w:val="0"/>
          <w:sz w:val="32"/>
          <w:szCs w:val="32"/>
        </w:rPr>
      </w:pPr>
      <w:r>
        <w:rPr>
          <w:rStyle w:val="7"/>
          <w:rFonts w:hint="eastAsia" w:ascii="方正黑体_GBK" w:hAnsi="宋体" w:eastAsia="方正黑体_GBK" w:cs="宋体"/>
          <w:b w:val="0"/>
          <w:sz w:val="32"/>
          <w:szCs w:val="32"/>
        </w:rPr>
        <w:t>四、绩效自评结果拟应用和公开情况</w:t>
      </w:r>
    </w:p>
    <w:p>
      <w:pPr>
        <w:pStyle w:val="4"/>
        <w:widowControl/>
        <w:adjustRightInd w:val="0"/>
        <w:spacing w:beforeAutospacing="0" w:afterAutospacing="0"/>
        <w:ind w:firstLine="640" w:firstLineChars="200"/>
        <w:jc w:val="both"/>
        <w:rPr>
          <w:rStyle w:val="7"/>
          <w:rFonts w:hint="eastAsia" w:ascii="方正仿宋_GBK" w:hAnsi="宋体" w:eastAsia="方正仿宋_GBK" w:cs="宋体"/>
          <w:b w:val="0"/>
          <w:bCs/>
          <w:sz w:val="32"/>
          <w:szCs w:val="32"/>
        </w:rPr>
      </w:pPr>
      <w:r>
        <w:rPr>
          <w:rStyle w:val="7"/>
          <w:rFonts w:hint="eastAsia" w:ascii="方正仿宋_GBK" w:hAnsi="宋体" w:eastAsia="方正仿宋_GBK" w:cs="宋体"/>
          <w:b w:val="0"/>
          <w:bCs/>
          <w:sz w:val="32"/>
          <w:szCs w:val="32"/>
        </w:rPr>
        <w:t>自评结果将作为以后年度项目预算重要参考依据，并根据（梁平财发〔2021〕253号）文件精神，经镇政府预算公开评审、报镇人大后随同部门决算向社会公开。</w:t>
      </w:r>
    </w:p>
    <w:p>
      <w:pPr>
        <w:pStyle w:val="4"/>
        <w:widowControl/>
        <w:adjustRightInd w:val="0"/>
        <w:spacing w:beforeAutospacing="0" w:afterAutospacing="0"/>
        <w:ind w:firstLine="642" w:firstLineChars="200"/>
        <w:jc w:val="both"/>
        <w:rPr>
          <w:rStyle w:val="7"/>
          <w:rFonts w:hint="eastAsia" w:ascii="方正仿宋_GBK" w:hAnsi="宋体" w:eastAsia="方正仿宋_GBK" w:cs="宋体"/>
          <w:sz w:val="32"/>
          <w:szCs w:val="32"/>
        </w:rPr>
      </w:pPr>
    </w:p>
    <w:p>
      <w:pPr>
        <w:pStyle w:val="4"/>
        <w:widowControl/>
        <w:adjustRightInd w:val="0"/>
        <w:spacing w:beforeAutospacing="0" w:afterAutospacing="0"/>
        <w:ind w:firstLine="640" w:firstLineChars="200"/>
        <w:jc w:val="both"/>
        <w:rPr>
          <w:rStyle w:val="7"/>
          <w:rFonts w:hint="eastAsia" w:ascii="方正仿宋_GBK" w:hAnsi="宋体" w:eastAsia="方正仿宋_GBK" w:cs="宋体"/>
          <w:b w:val="0"/>
          <w:sz w:val="32"/>
          <w:szCs w:val="32"/>
        </w:rPr>
      </w:pPr>
      <w:r>
        <w:rPr>
          <w:rStyle w:val="7"/>
          <w:rFonts w:hint="eastAsia" w:ascii="方正仿宋_GBK" w:hAnsi="宋体" w:eastAsia="方正仿宋_GBK" w:cs="宋体"/>
          <w:b w:val="0"/>
          <w:sz w:val="32"/>
          <w:szCs w:val="32"/>
        </w:rPr>
        <w:t>（5）重庆市梁平区蟠龙镇社会事务类经费支出资金绩效自评报告</w:t>
      </w:r>
    </w:p>
    <w:p>
      <w:pPr>
        <w:pStyle w:val="4"/>
        <w:widowControl/>
        <w:adjustRightInd w:val="0"/>
        <w:spacing w:beforeAutospacing="0" w:afterAutospacing="0"/>
        <w:ind w:firstLine="642" w:firstLineChars="200"/>
        <w:jc w:val="both"/>
        <w:rPr>
          <w:rStyle w:val="7"/>
          <w:rFonts w:hint="eastAsia" w:ascii="方正仿宋_GBK" w:hAnsi="宋体" w:eastAsia="方正仿宋_GBK" w:cs="宋体"/>
          <w:sz w:val="32"/>
          <w:szCs w:val="32"/>
        </w:rPr>
      </w:pPr>
    </w:p>
    <w:p>
      <w:pPr>
        <w:pStyle w:val="4"/>
        <w:widowControl/>
        <w:adjustRightInd w:val="0"/>
        <w:snapToGrid w:val="0"/>
        <w:spacing w:beforeAutospacing="0" w:afterAutospacing="0"/>
        <w:jc w:val="center"/>
        <w:rPr>
          <w:rStyle w:val="7"/>
          <w:rFonts w:hint="eastAsia" w:ascii="方正小标宋_GBK" w:hAnsi="宋体" w:eastAsia="方正小标宋_GBK" w:cs="宋体"/>
          <w:b w:val="0"/>
          <w:sz w:val="44"/>
          <w:szCs w:val="44"/>
        </w:rPr>
      </w:pPr>
      <w:r>
        <w:rPr>
          <w:rStyle w:val="7"/>
          <w:rFonts w:hint="eastAsia" w:ascii="方正小标宋_GBK" w:hAnsi="宋体" w:eastAsia="方正小标宋_GBK" w:cs="宋体"/>
          <w:b w:val="0"/>
          <w:sz w:val="44"/>
          <w:szCs w:val="44"/>
        </w:rPr>
        <w:t>重庆市梁平区蟠龙镇社会事务类经费支出资金绩效自评报告</w:t>
      </w:r>
    </w:p>
    <w:p>
      <w:pPr>
        <w:pStyle w:val="4"/>
        <w:widowControl/>
        <w:adjustRightInd w:val="0"/>
        <w:snapToGrid w:val="0"/>
        <w:spacing w:beforeAutospacing="0" w:afterAutospacing="0"/>
        <w:jc w:val="center"/>
        <w:rPr>
          <w:rStyle w:val="7"/>
          <w:rFonts w:hint="eastAsia" w:ascii="方正小标宋_GBK" w:hAnsi="宋体" w:eastAsia="方正小标宋_GBK" w:cs="宋体"/>
          <w:b w:val="0"/>
          <w:sz w:val="44"/>
          <w:szCs w:val="44"/>
        </w:rPr>
      </w:pPr>
    </w:p>
    <w:p>
      <w:pPr>
        <w:pStyle w:val="4"/>
        <w:widowControl/>
        <w:adjustRightInd w:val="0"/>
        <w:spacing w:beforeAutospacing="0" w:afterAutospacing="0"/>
        <w:ind w:firstLine="640" w:firstLineChars="200"/>
        <w:jc w:val="both"/>
        <w:rPr>
          <w:rStyle w:val="7"/>
          <w:rFonts w:hint="eastAsia" w:ascii="方正黑体_GBK" w:hAnsi="宋体" w:eastAsia="方正黑体_GBK" w:cs="宋体"/>
          <w:b w:val="0"/>
          <w:sz w:val="32"/>
          <w:szCs w:val="32"/>
        </w:rPr>
      </w:pPr>
      <w:r>
        <w:rPr>
          <w:rStyle w:val="7"/>
          <w:rFonts w:hint="eastAsia" w:ascii="方正黑体_GBK" w:hAnsi="宋体" w:eastAsia="方正黑体_GBK" w:cs="宋体"/>
          <w:b w:val="0"/>
          <w:sz w:val="32"/>
          <w:szCs w:val="32"/>
        </w:rPr>
        <w:t>一、绩效目标分解下达情况</w:t>
      </w:r>
    </w:p>
    <w:p>
      <w:pPr>
        <w:pStyle w:val="4"/>
        <w:widowControl/>
        <w:adjustRightInd w:val="0"/>
        <w:spacing w:beforeAutospacing="0" w:afterAutospacing="0"/>
        <w:ind w:firstLine="640" w:firstLineChars="200"/>
        <w:jc w:val="both"/>
        <w:rPr>
          <w:rStyle w:val="7"/>
          <w:rFonts w:hint="eastAsia" w:ascii="方正仿宋_GBK" w:hAnsi="宋体" w:eastAsia="方正仿宋_GBK" w:cs="宋体"/>
          <w:b w:val="0"/>
          <w:bCs/>
          <w:sz w:val="32"/>
          <w:szCs w:val="32"/>
        </w:rPr>
      </w:pPr>
      <w:r>
        <w:rPr>
          <w:rStyle w:val="7"/>
          <w:rFonts w:hint="eastAsia" w:ascii="方正仿宋_GBK" w:hAnsi="宋体" w:eastAsia="方正仿宋_GBK" w:cs="宋体"/>
          <w:b w:val="0"/>
          <w:bCs/>
          <w:sz w:val="32"/>
          <w:szCs w:val="32"/>
        </w:rPr>
        <w:t>区级资金安排、分解下达预算和绩效目标情况。2020年区级财政安排下达社会事务类资金82.99万元。绩效目标情况： 促进社会公共服务，推进社会各项事业健康发展等。</w:t>
      </w:r>
    </w:p>
    <w:p>
      <w:pPr>
        <w:pStyle w:val="4"/>
        <w:widowControl/>
        <w:adjustRightInd w:val="0"/>
        <w:spacing w:beforeAutospacing="0" w:afterAutospacing="0"/>
        <w:ind w:firstLine="640" w:firstLineChars="200"/>
        <w:jc w:val="both"/>
        <w:rPr>
          <w:rStyle w:val="7"/>
          <w:rFonts w:hint="eastAsia" w:ascii="方正黑体_GBK" w:hAnsi="宋体" w:eastAsia="方正黑体_GBK" w:cs="宋体"/>
          <w:b w:val="0"/>
          <w:sz w:val="32"/>
          <w:szCs w:val="32"/>
        </w:rPr>
      </w:pPr>
      <w:r>
        <w:rPr>
          <w:rStyle w:val="7"/>
          <w:rFonts w:hint="eastAsia" w:ascii="方正黑体_GBK" w:hAnsi="宋体" w:eastAsia="方正黑体_GBK" w:cs="宋体"/>
          <w:b w:val="0"/>
          <w:sz w:val="32"/>
          <w:szCs w:val="32"/>
        </w:rPr>
        <w:t>二、绩效目标自评完成情况分析</w:t>
      </w:r>
    </w:p>
    <w:p>
      <w:pPr>
        <w:pStyle w:val="4"/>
        <w:widowControl/>
        <w:adjustRightInd w:val="0"/>
        <w:spacing w:beforeAutospacing="0" w:afterAutospacing="0"/>
        <w:ind w:firstLine="640" w:firstLineChars="200"/>
        <w:jc w:val="both"/>
        <w:rPr>
          <w:rStyle w:val="7"/>
          <w:rFonts w:hint="eastAsia" w:ascii="方正仿宋_GBK" w:hAnsi="宋体" w:eastAsia="方正仿宋_GBK" w:cs="宋体"/>
          <w:b w:val="0"/>
          <w:bCs/>
          <w:sz w:val="32"/>
          <w:szCs w:val="32"/>
        </w:rPr>
      </w:pPr>
      <w:r>
        <w:rPr>
          <w:rStyle w:val="7"/>
          <w:rFonts w:hint="eastAsia" w:ascii="方正楷体_GBK" w:hAnsi="宋体" w:eastAsia="方正楷体_GBK" w:cs="宋体"/>
          <w:b w:val="0"/>
          <w:bCs/>
          <w:sz w:val="32"/>
          <w:szCs w:val="32"/>
        </w:rPr>
        <w:t>（一）资金投入情况分析。</w:t>
      </w:r>
      <w:r>
        <w:rPr>
          <w:rStyle w:val="7"/>
          <w:rFonts w:hint="eastAsia" w:ascii="方正仿宋_GBK" w:hAnsi="宋体" w:eastAsia="方正仿宋_GBK" w:cs="宋体"/>
          <w:b w:val="0"/>
          <w:bCs/>
          <w:sz w:val="32"/>
          <w:szCs w:val="32"/>
        </w:rPr>
        <w:t>1．项目资金到位情况分析。2020年财政社会事务类专项资金到位82.99万元：（1）动植物防</w:t>
      </w:r>
      <w:r>
        <w:rPr>
          <w:rStyle w:val="7"/>
          <w:rFonts w:hint="eastAsia" w:ascii="方正仿宋_GBK" w:hAnsi="宋体" w:eastAsia="方正仿宋_GBK" w:cs="宋体"/>
          <w:b w:val="0"/>
          <w:bCs/>
          <w:sz w:val="32"/>
          <w:szCs w:val="32"/>
          <w:lang w:eastAsia="zh-CN"/>
        </w:rPr>
        <w:t>疫</w:t>
      </w:r>
      <w:r>
        <w:rPr>
          <w:rStyle w:val="7"/>
          <w:rFonts w:hint="eastAsia" w:ascii="方正仿宋_GBK" w:hAnsi="宋体" w:eastAsia="方正仿宋_GBK" w:cs="宋体"/>
          <w:b w:val="0"/>
          <w:bCs/>
          <w:sz w:val="32"/>
          <w:szCs w:val="32"/>
        </w:rPr>
        <w:t>员补助支出4万元；（2）农业洪灾补助支出2.6万元；（3）农业生产资料补助经费1.57万元；（4）有机肥推广示范补助18.97万元；（5）企业发展管理工作经费支出0.7万元；（6）规上企业发展的奖励工作经费2.5万元；（7）公共公文化工作经费0.42万元；（8）人大代表活动经费5.76万元；（9）人大代表专用办公经费0.5万元；（10）人口普查工作经费14.35万元；（11）团支部和妇联工作经费0.3万元；（12）社保就业专用工作经费1万元；（13）老党员生活补助14.99万元；（14）村社区食药员工资4.6万元；（15）征兵工作费0.8万元；（16）村劝导员工资5.76万元；（17）村社区退役站经费支出4.17万元。2.项目资金执行情况分析。</w:t>
      </w:r>
      <w:r>
        <w:rPr>
          <w:rStyle w:val="7"/>
          <w:rFonts w:hint="eastAsia" w:ascii="方正仿宋_GBK" w:hAnsi="宋体" w:eastAsia="方正仿宋_GBK" w:cs="宋体"/>
          <w:b w:val="0"/>
          <w:bCs/>
          <w:sz w:val="32"/>
          <w:szCs w:val="32"/>
          <w:lang w:eastAsia="zh-CN"/>
        </w:rPr>
        <w:t>截至目前</w:t>
      </w:r>
      <w:r>
        <w:rPr>
          <w:rStyle w:val="7"/>
          <w:rFonts w:hint="eastAsia" w:ascii="方正仿宋_GBK" w:hAnsi="宋体" w:eastAsia="方正仿宋_GBK" w:cs="宋体"/>
          <w:b w:val="0"/>
          <w:bCs/>
          <w:sz w:val="32"/>
          <w:szCs w:val="32"/>
        </w:rPr>
        <w:t>实际总支出为82.99万元，已全部支付完毕。3．项目资金管理情况分析。严格按照相应的业务管理制度，做到了资金使用规范，符合国家财经法规和财务管理以及有关专项资金管理办法的规定；资金的拨付有完整的审批程序和手续，不存在截留、挤占、挪用、虚列支出等情况，会计核算准确、财务资料完整。</w:t>
      </w:r>
    </w:p>
    <w:p>
      <w:pPr>
        <w:pStyle w:val="4"/>
        <w:widowControl/>
        <w:adjustRightInd w:val="0"/>
        <w:spacing w:beforeAutospacing="0" w:afterAutospacing="0"/>
        <w:ind w:firstLine="640" w:firstLineChars="200"/>
        <w:jc w:val="both"/>
        <w:rPr>
          <w:rStyle w:val="7"/>
          <w:rFonts w:hint="eastAsia" w:ascii="方正仿宋_GBK" w:hAnsi="宋体" w:eastAsia="方正仿宋_GBK" w:cs="宋体"/>
          <w:b w:val="0"/>
          <w:bCs/>
          <w:sz w:val="32"/>
          <w:szCs w:val="32"/>
        </w:rPr>
      </w:pPr>
      <w:r>
        <w:rPr>
          <w:rStyle w:val="7"/>
          <w:rFonts w:hint="eastAsia" w:ascii="方正楷体_GBK" w:hAnsi="宋体" w:eastAsia="方正楷体_GBK" w:cs="宋体"/>
          <w:b w:val="0"/>
          <w:bCs/>
          <w:sz w:val="32"/>
          <w:szCs w:val="32"/>
        </w:rPr>
        <w:t>（二）绩效目标完成情况分析。</w:t>
      </w:r>
      <w:r>
        <w:rPr>
          <w:rStyle w:val="7"/>
          <w:rFonts w:hint="eastAsia" w:ascii="方正仿宋_GBK" w:hAnsi="宋体" w:eastAsia="方正仿宋_GBK" w:cs="宋体"/>
          <w:b w:val="0"/>
          <w:bCs/>
          <w:sz w:val="32"/>
          <w:szCs w:val="32"/>
        </w:rPr>
        <w:t>1.产出指标完成情况分析。（1）数量指标完成情况分析。动植物防</w:t>
      </w:r>
      <w:r>
        <w:rPr>
          <w:rStyle w:val="7"/>
          <w:rFonts w:hint="eastAsia" w:ascii="方正仿宋_GBK" w:hAnsi="宋体" w:eastAsia="方正仿宋_GBK" w:cs="宋体"/>
          <w:b w:val="0"/>
          <w:bCs/>
          <w:sz w:val="32"/>
          <w:szCs w:val="32"/>
          <w:lang w:eastAsia="zh-CN"/>
        </w:rPr>
        <w:t>疫</w:t>
      </w:r>
      <w:r>
        <w:rPr>
          <w:rStyle w:val="7"/>
          <w:rFonts w:hint="eastAsia" w:ascii="方正仿宋_GBK" w:hAnsi="宋体" w:eastAsia="方正仿宋_GBK" w:cs="宋体"/>
          <w:b w:val="0"/>
          <w:bCs/>
          <w:sz w:val="32"/>
          <w:szCs w:val="32"/>
        </w:rPr>
        <w:t>、人大代表活动、人口普查、村社区食药、征兵工作、村劝导站运维、村社区退役站、公共公文化工作、规上企业发展、社保就业、老党员生活补助等。（2）质量指标完成情况分析。保证了乡镇各项社会事业的发展（3）时效指标完成情况分析。 已经完成2020年完成社会事务方面各项工作任务。（4）成本指标完成情况分析。我单位较好地完成了2020年初设定的工作任务，各项工作得到有序开展。资金使用率达到100%。2.效益指标完成情况分析。（1）经济效益完成情况分析。2020年完成82.99万元社会事务类经费的使用，促进社会各项事业的发展。（2）社会效益完成情况分析。推动社会各项事业的健康发展，社会收效较好。3、满意度指标完成情况分析。群众满意度明显上升。</w:t>
      </w:r>
    </w:p>
    <w:p>
      <w:pPr>
        <w:pStyle w:val="4"/>
        <w:widowControl/>
        <w:adjustRightInd w:val="0"/>
        <w:spacing w:beforeAutospacing="0" w:afterAutospacing="0"/>
        <w:ind w:firstLine="640" w:firstLineChars="200"/>
        <w:jc w:val="both"/>
        <w:rPr>
          <w:rStyle w:val="7"/>
          <w:rFonts w:hint="eastAsia" w:ascii="方正黑体_GBK" w:hAnsi="宋体" w:eastAsia="方正黑体_GBK" w:cs="宋体"/>
          <w:b w:val="0"/>
          <w:sz w:val="32"/>
          <w:szCs w:val="32"/>
        </w:rPr>
      </w:pPr>
      <w:r>
        <w:rPr>
          <w:rStyle w:val="7"/>
          <w:rFonts w:hint="eastAsia" w:ascii="方正黑体_GBK" w:hAnsi="宋体" w:eastAsia="方正黑体_GBK" w:cs="宋体"/>
          <w:b w:val="0"/>
          <w:sz w:val="32"/>
          <w:szCs w:val="32"/>
        </w:rPr>
        <w:t>三、偏离绩效目标的原因和下一步改进措施</w:t>
      </w:r>
    </w:p>
    <w:p>
      <w:pPr>
        <w:pStyle w:val="4"/>
        <w:widowControl/>
        <w:adjustRightInd w:val="0"/>
        <w:spacing w:beforeAutospacing="0" w:afterAutospacing="0"/>
        <w:ind w:firstLine="640" w:firstLineChars="200"/>
        <w:jc w:val="both"/>
        <w:rPr>
          <w:rStyle w:val="7"/>
          <w:rFonts w:hint="eastAsia" w:ascii="方正仿宋_GBK" w:hAnsi="宋体" w:eastAsia="方正仿宋_GBK" w:cs="宋体"/>
          <w:b w:val="0"/>
          <w:bCs/>
          <w:sz w:val="32"/>
          <w:szCs w:val="32"/>
        </w:rPr>
      </w:pPr>
      <w:r>
        <w:rPr>
          <w:rStyle w:val="7"/>
          <w:rFonts w:hint="eastAsia" w:ascii="方正仿宋_GBK" w:hAnsi="宋体" w:eastAsia="方正仿宋_GBK" w:cs="宋体"/>
          <w:b w:val="0"/>
          <w:bCs/>
          <w:sz w:val="32"/>
          <w:szCs w:val="32"/>
        </w:rPr>
        <w:t>2020年社会事务绩效目标明确，所有指标没有偏离绩效目标，各项绩效指标项目经费全部使用完毕，助推了2021年社会各项事业工作有序开展。</w:t>
      </w:r>
    </w:p>
    <w:p>
      <w:pPr>
        <w:pStyle w:val="4"/>
        <w:widowControl/>
        <w:adjustRightInd w:val="0"/>
        <w:spacing w:beforeAutospacing="0" w:afterAutospacing="0"/>
        <w:ind w:firstLine="640" w:firstLineChars="200"/>
        <w:jc w:val="both"/>
        <w:rPr>
          <w:rStyle w:val="7"/>
          <w:rFonts w:hint="eastAsia" w:ascii="方正黑体_GBK" w:hAnsi="宋体" w:eastAsia="方正黑体_GBK" w:cs="宋体"/>
          <w:b w:val="0"/>
          <w:sz w:val="32"/>
          <w:szCs w:val="32"/>
        </w:rPr>
      </w:pPr>
      <w:r>
        <w:rPr>
          <w:rStyle w:val="7"/>
          <w:rFonts w:hint="eastAsia" w:ascii="方正黑体_GBK" w:hAnsi="宋体" w:eastAsia="方正黑体_GBK" w:cs="宋体"/>
          <w:b w:val="0"/>
          <w:sz w:val="32"/>
          <w:szCs w:val="32"/>
        </w:rPr>
        <w:t>四、绩效自评结果拟应用和公开情况</w:t>
      </w:r>
    </w:p>
    <w:p>
      <w:pPr>
        <w:pStyle w:val="4"/>
        <w:widowControl/>
        <w:adjustRightInd w:val="0"/>
        <w:spacing w:beforeAutospacing="0" w:afterAutospacing="0"/>
        <w:ind w:firstLine="640" w:firstLineChars="200"/>
        <w:jc w:val="both"/>
        <w:rPr>
          <w:rStyle w:val="7"/>
          <w:rFonts w:hint="eastAsia" w:ascii="方正仿宋_GBK" w:hAnsi="宋体" w:eastAsia="方正仿宋_GBK" w:cs="宋体"/>
          <w:b w:val="0"/>
          <w:bCs/>
          <w:sz w:val="32"/>
          <w:szCs w:val="32"/>
        </w:rPr>
      </w:pPr>
      <w:r>
        <w:rPr>
          <w:rStyle w:val="7"/>
          <w:rFonts w:hint="eastAsia" w:ascii="方正仿宋_GBK" w:hAnsi="宋体" w:eastAsia="方正仿宋_GBK" w:cs="宋体"/>
          <w:b w:val="0"/>
          <w:bCs/>
          <w:sz w:val="32"/>
          <w:szCs w:val="32"/>
        </w:rPr>
        <w:t>自评结果将作为以后年度项目预算重要参考依据，并根据（梁平财发〔2021〕253号）文件精神，经镇政府预算公开评审、报镇人大后随同部门决算向社会公开。</w:t>
      </w:r>
    </w:p>
    <w:p>
      <w:pPr>
        <w:pStyle w:val="4"/>
        <w:widowControl/>
        <w:adjustRightInd w:val="0"/>
        <w:spacing w:beforeAutospacing="0" w:afterAutospacing="0"/>
        <w:ind w:firstLine="642" w:firstLineChars="200"/>
        <w:jc w:val="both"/>
        <w:rPr>
          <w:rStyle w:val="7"/>
          <w:rFonts w:hint="eastAsia" w:ascii="方正仿宋_GBK" w:hAnsi="宋体" w:eastAsia="方正仿宋_GBK" w:cs="宋体"/>
          <w:sz w:val="32"/>
          <w:szCs w:val="32"/>
        </w:rPr>
      </w:pPr>
    </w:p>
    <w:p>
      <w:pPr>
        <w:pStyle w:val="4"/>
        <w:widowControl/>
        <w:adjustRightInd w:val="0"/>
        <w:spacing w:beforeAutospacing="0" w:afterAutospacing="0"/>
        <w:ind w:firstLine="642" w:firstLineChars="200"/>
        <w:jc w:val="both"/>
        <w:rPr>
          <w:rStyle w:val="7"/>
          <w:rFonts w:hint="eastAsia" w:ascii="方正仿宋_GBK" w:hAnsi="宋体" w:eastAsia="方正仿宋_GBK" w:cs="宋体"/>
          <w:sz w:val="32"/>
          <w:szCs w:val="32"/>
        </w:rPr>
      </w:pPr>
      <w:r>
        <w:rPr>
          <w:rStyle w:val="7"/>
          <w:rFonts w:hint="eastAsia" w:ascii="方正仿宋_GBK" w:hAnsi="宋体" w:eastAsia="方正仿宋_GBK" w:cs="宋体"/>
          <w:sz w:val="32"/>
          <w:szCs w:val="32"/>
        </w:rPr>
        <w:t>（三）重点绩效评价结果</w:t>
      </w:r>
    </w:p>
    <w:p>
      <w:pPr>
        <w:pStyle w:val="4"/>
        <w:widowControl/>
        <w:adjustRightInd w:val="0"/>
        <w:spacing w:beforeAutospacing="0" w:afterAutospacing="0"/>
        <w:ind w:firstLine="642" w:firstLineChars="200"/>
        <w:jc w:val="both"/>
        <w:rPr>
          <w:rStyle w:val="7"/>
          <w:rFonts w:hint="eastAsia" w:ascii="方正仿宋_GBK" w:hAnsi="宋体" w:eastAsia="方正仿宋_GBK" w:cs="宋体"/>
          <w:sz w:val="32"/>
          <w:szCs w:val="32"/>
        </w:rPr>
      </w:pPr>
    </w:p>
    <w:p>
      <w:pPr>
        <w:pStyle w:val="4"/>
        <w:widowControl/>
        <w:adjustRightInd w:val="0"/>
        <w:spacing w:beforeAutospacing="0" w:afterAutospacing="0"/>
        <w:jc w:val="center"/>
        <w:rPr>
          <w:rFonts w:hint="eastAsia" w:ascii="方正小标宋_GBK" w:hAnsi="宋体" w:eastAsia="方正小标宋_GBK" w:cs="宋体"/>
          <w:sz w:val="44"/>
          <w:szCs w:val="44"/>
        </w:rPr>
      </w:pPr>
      <w:r>
        <w:rPr>
          <w:rFonts w:hint="eastAsia" w:ascii="方正小标宋_GBK" w:hAnsi="宋体" w:eastAsia="方正小标宋_GBK" w:cs="宋体"/>
          <w:sz w:val="44"/>
          <w:szCs w:val="44"/>
        </w:rPr>
        <w:t>2020年项目绩效目标自评结果综述</w:t>
      </w:r>
    </w:p>
    <w:p>
      <w:pPr>
        <w:pStyle w:val="4"/>
        <w:widowControl/>
        <w:adjustRightInd w:val="0"/>
        <w:spacing w:beforeAutospacing="0" w:afterAutospacing="0"/>
        <w:ind w:firstLine="640" w:firstLineChars="200"/>
        <w:jc w:val="both"/>
        <w:rPr>
          <w:rFonts w:hint="eastAsia" w:ascii="方正仿宋_GBK" w:hAnsi="宋体" w:eastAsia="方正仿宋_GBK" w:cs="宋体"/>
          <w:sz w:val="32"/>
          <w:szCs w:val="32"/>
        </w:rPr>
      </w:pPr>
      <w:r>
        <w:rPr>
          <w:rFonts w:hint="eastAsia" w:ascii="方正仿宋_GBK" w:hAnsi="宋体" w:eastAsia="方正仿宋_GBK" w:cs="宋体"/>
          <w:sz w:val="32"/>
          <w:szCs w:val="32"/>
        </w:rPr>
        <w:t>按照《《重庆市梁平区预决算信息公开管理办法》（梁平府办发〔2017〕242号）和《关于印发试点领域基层政务公开标准目录的通知》（梁平府发〔2020〕19号）要求，我镇对当年财政支出绩效评价工作进行了自评，自评分数为100分。</w:t>
      </w:r>
    </w:p>
    <w:p>
      <w:pPr>
        <w:pStyle w:val="4"/>
        <w:widowControl/>
        <w:adjustRightInd w:val="0"/>
        <w:spacing w:beforeAutospacing="0" w:afterAutospacing="0"/>
        <w:ind w:firstLine="640" w:firstLineChars="200"/>
        <w:jc w:val="both"/>
        <w:rPr>
          <w:rFonts w:hint="eastAsia" w:ascii="方正黑体_GBK" w:hAnsi="宋体" w:eastAsia="方正黑体_GBK" w:cs="宋体"/>
          <w:sz w:val="32"/>
          <w:szCs w:val="32"/>
        </w:rPr>
      </w:pPr>
      <w:r>
        <w:rPr>
          <w:rFonts w:hint="eastAsia" w:ascii="方正黑体_GBK" w:hAnsi="宋体" w:eastAsia="方正黑体_GBK" w:cs="宋体"/>
          <w:sz w:val="32"/>
          <w:szCs w:val="32"/>
        </w:rPr>
        <w:t>一、自评情况</w:t>
      </w:r>
    </w:p>
    <w:p>
      <w:pPr>
        <w:pStyle w:val="4"/>
        <w:widowControl/>
        <w:adjustRightInd w:val="0"/>
        <w:spacing w:beforeAutospacing="0" w:afterAutospacing="0"/>
        <w:ind w:firstLine="640" w:firstLineChars="200"/>
        <w:jc w:val="both"/>
        <w:rPr>
          <w:rFonts w:hint="eastAsia" w:ascii="方正仿宋_GBK" w:hAnsi="宋体" w:eastAsia="方正仿宋_GBK" w:cs="宋体"/>
          <w:sz w:val="32"/>
          <w:szCs w:val="32"/>
        </w:rPr>
      </w:pPr>
      <w:r>
        <w:rPr>
          <w:rFonts w:hint="eastAsia" w:ascii="方正楷体_GBK" w:hAnsi="宋体" w:eastAsia="方正楷体_GBK" w:cs="宋体"/>
          <w:sz w:val="32"/>
          <w:szCs w:val="32"/>
        </w:rPr>
        <w:t>（一）基础建设得分20分。</w:t>
      </w:r>
      <w:r>
        <w:rPr>
          <w:rFonts w:hint="eastAsia" w:ascii="方正仿宋_GBK" w:hAnsi="宋体" w:eastAsia="方正仿宋_GBK" w:cs="宋体"/>
          <w:sz w:val="32"/>
          <w:szCs w:val="32"/>
        </w:rPr>
        <w:t>为做好2020年度财政支出绩效评价工作，我镇成立财政支出绩效评价领导小组，并下发了《重庆市梁平区蟠龙镇人民政府关于成立绩效管理小组和绩效考核小组的通知》（蟠龙府发〔2020〕103号）。财政支出绩效评价工作职能明确、职责分工清晰。按照市财政局关于开展2020年财政支出绩效评价工作的通知精神，镇人民政府制定了绩效评价工作方案，完善了指标体系。明确了前期准备、部门自评、现场评价及报告撰写各阶段工作时间及具体工作内容。并下发了《重庆市梁平区蟠龙镇人民政府关于开展财政支出绩效评价工作的通知》（蟠龙府发〔2020〕105号），还对组织评价人员进行了业务培训，认真学习《重庆市项目支出绩效评价指标体系》等相关知识，印发了项目支出绩效评价操作手册。因此，我镇在制度建设、实施方案、指标体系、业务培训四个方面均达到考核要求。</w:t>
      </w:r>
    </w:p>
    <w:p>
      <w:pPr>
        <w:pStyle w:val="4"/>
        <w:widowControl/>
        <w:adjustRightInd w:val="0"/>
        <w:spacing w:beforeAutospacing="0" w:afterAutospacing="0"/>
        <w:ind w:firstLine="640" w:firstLineChars="200"/>
        <w:jc w:val="both"/>
        <w:rPr>
          <w:rFonts w:hint="eastAsia" w:ascii="方正仿宋_GBK" w:hAnsi="宋体" w:eastAsia="方正仿宋_GBK" w:cs="宋体"/>
          <w:sz w:val="32"/>
          <w:szCs w:val="32"/>
        </w:rPr>
      </w:pPr>
      <w:r>
        <w:rPr>
          <w:rFonts w:hint="eastAsia" w:ascii="方正楷体_GBK" w:hAnsi="宋体" w:eastAsia="方正楷体_GBK" w:cs="宋体"/>
          <w:sz w:val="32"/>
          <w:szCs w:val="32"/>
        </w:rPr>
        <w:t>（二）组织实施得分29分。</w:t>
      </w:r>
      <w:r>
        <w:rPr>
          <w:rFonts w:hint="eastAsia" w:ascii="方正仿宋_GBK" w:hAnsi="宋体" w:eastAsia="方正仿宋_GBK" w:cs="宋体"/>
          <w:sz w:val="32"/>
          <w:szCs w:val="32"/>
        </w:rPr>
        <w:t>对照组织实施考核的相关内容，我镇在项目评价方面扣了1分，原因是：县级安排大部分属于民生政策性项目配套，镇级项目资金量较小，因此在选择评价项目资金规模与当年项目资金总额占比上未能达到30﹪。</w:t>
      </w:r>
    </w:p>
    <w:p>
      <w:pPr>
        <w:pStyle w:val="4"/>
        <w:widowControl/>
        <w:adjustRightInd w:val="0"/>
        <w:spacing w:beforeAutospacing="0" w:afterAutospacing="0"/>
        <w:ind w:firstLine="640" w:firstLineChars="200"/>
        <w:jc w:val="both"/>
        <w:rPr>
          <w:rFonts w:hint="eastAsia" w:ascii="方正仿宋_GBK" w:hAnsi="宋体" w:eastAsia="方正仿宋_GBK" w:cs="宋体"/>
          <w:sz w:val="32"/>
          <w:szCs w:val="32"/>
        </w:rPr>
      </w:pPr>
      <w:r>
        <w:rPr>
          <w:rFonts w:hint="eastAsia" w:ascii="方正楷体_GBK" w:hAnsi="宋体" w:eastAsia="方正楷体_GBK" w:cs="宋体"/>
          <w:sz w:val="32"/>
          <w:szCs w:val="32"/>
        </w:rPr>
        <w:t>（三）结果应用得分40分。</w:t>
      </w:r>
      <w:r>
        <w:rPr>
          <w:rFonts w:hint="eastAsia" w:ascii="方正仿宋_GBK" w:hAnsi="宋体" w:eastAsia="方正仿宋_GBK" w:cs="宋体"/>
          <w:sz w:val="32"/>
          <w:szCs w:val="32"/>
        </w:rPr>
        <w:t>我镇在项目评价中发现的问题都及时做了相应的整改，并将结果报镇人大，绩效评价结果与次年项目安排挂钩。</w:t>
      </w:r>
    </w:p>
    <w:p>
      <w:pPr>
        <w:pStyle w:val="4"/>
        <w:widowControl/>
        <w:adjustRightInd w:val="0"/>
        <w:spacing w:beforeAutospacing="0" w:afterAutospacing="0"/>
        <w:ind w:firstLine="640" w:firstLineChars="200"/>
        <w:jc w:val="both"/>
        <w:rPr>
          <w:rFonts w:hint="eastAsia" w:ascii="方正仿宋_GBK" w:hAnsi="宋体" w:eastAsia="方正仿宋_GBK" w:cs="宋体"/>
          <w:sz w:val="32"/>
          <w:szCs w:val="32"/>
        </w:rPr>
      </w:pPr>
      <w:r>
        <w:rPr>
          <w:rFonts w:hint="eastAsia" w:ascii="方正楷体_GBK" w:hAnsi="宋体" w:eastAsia="方正楷体_GBK" w:cs="宋体"/>
          <w:sz w:val="32"/>
          <w:szCs w:val="32"/>
        </w:rPr>
        <w:t>（四）信息交流得分10分。</w:t>
      </w:r>
      <w:r>
        <w:rPr>
          <w:rFonts w:hint="eastAsia" w:ascii="方正仿宋_GBK" w:hAnsi="宋体" w:eastAsia="方正仿宋_GBK" w:cs="宋体"/>
          <w:sz w:val="32"/>
          <w:szCs w:val="32"/>
        </w:rPr>
        <w:t>我镇在信息报送、意见反馈、宣传报道、协同工作均严格按照市区财政局要求完成。</w:t>
      </w:r>
    </w:p>
    <w:p>
      <w:pPr>
        <w:pStyle w:val="4"/>
        <w:widowControl/>
        <w:adjustRightInd w:val="0"/>
        <w:spacing w:beforeAutospacing="0" w:afterAutospacing="0"/>
        <w:ind w:firstLine="640" w:firstLineChars="200"/>
        <w:jc w:val="both"/>
        <w:rPr>
          <w:rFonts w:hint="eastAsia" w:ascii="方正黑体_GBK" w:hAnsi="宋体" w:eastAsia="方正黑体_GBK" w:cs="宋体"/>
          <w:sz w:val="32"/>
          <w:szCs w:val="32"/>
        </w:rPr>
      </w:pPr>
      <w:r>
        <w:rPr>
          <w:rFonts w:hint="eastAsia" w:ascii="方正黑体_GBK" w:hAnsi="宋体" w:eastAsia="方正黑体_GBK" w:cs="宋体"/>
          <w:sz w:val="32"/>
          <w:szCs w:val="32"/>
        </w:rPr>
        <w:t>二、取得的成效</w:t>
      </w:r>
    </w:p>
    <w:p>
      <w:pPr>
        <w:pStyle w:val="4"/>
        <w:widowControl/>
        <w:adjustRightInd w:val="0"/>
        <w:spacing w:beforeAutospacing="0" w:afterAutospacing="0"/>
        <w:ind w:firstLine="640" w:firstLineChars="200"/>
        <w:jc w:val="both"/>
        <w:rPr>
          <w:rFonts w:hint="eastAsia" w:ascii="方正仿宋_GBK" w:hAnsi="宋体" w:eastAsia="方正仿宋_GBK" w:cs="宋体"/>
          <w:sz w:val="32"/>
          <w:szCs w:val="32"/>
        </w:rPr>
      </w:pPr>
      <w:r>
        <w:rPr>
          <w:rFonts w:hint="eastAsia" w:ascii="方正仿宋_GBK" w:hAnsi="宋体" w:eastAsia="方正仿宋_GBK" w:cs="宋体"/>
          <w:sz w:val="32"/>
          <w:szCs w:val="32"/>
        </w:rPr>
        <w:t>通过财政支出绩效评价工作的开展，对绩效理念的树立、支出效益的提高和支出结构的优化等方面，都起到了积极作用。</w:t>
      </w:r>
    </w:p>
    <w:p>
      <w:pPr>
        <w:pStyle w:val="4"/>
        <w:widowControl/>
        <w:adjustRightInd w:val="0"/>
        <w:spacing w:beforeAutospacing="0" w:afterAutospacing="0"/>
        <w:ind w:firstLine="640" w:firstLineChars="200"/>
        <w:jc w:val="both"/>
        <w:rPr>
          <w:rFonts w:hint="eastAsia" w:ascii="方正仿宋_GBK" w:hAnsi="宋体" w:eastAsia="方正仿宋_GBK" w:cs="宋体"/>
          <w:sz w:val="32"/>
          <w:szCs w:val="32"/>
        </w:rPr>
      </w:pPr>
      <w:r>
        <w:rPr>
          <w:rFonts w:hint="eastAsia" w:ascii="方正楷体_GBK" w:hAnsi="宋体" w:eastAsia="方正楷体_GBK" w:cs="宋体"/>
          <w:sz w:val="32"/>
          <w:szCs w:val="32"/>
        </w:rPr>
        <w:t>（一）绩效理念得到了增强。</w:t>
      </w:r>
      <w:r>
        <w:rPr>
          <w:rFonts w:hint="eastAsia" w:ascii="方正仿宋_GBK" w:hAnsi="宋体" w:eastAsia="方正仿宋_GBK" w:cs="宋体"/>
          <w:sz w:val="32"/>
          <w:szCs w:val="32"/>
        </w:rPr>
        <w:t>随着财政支出绩效评价工作有序开展，镇政府及各部门增强了绩效理念。政府领导也高度重视绩效评价工作，要求财政办强化绩效预算，加强专项资金管理；有的部门负责人主动向财政办提出联合开展绩效评价的要求。随着绩效评价工作的实施，过去一些部门存在花钱不讲效益的局面得到了改变，使用财政资金要进行绩效评价，必须讲究效益的理念的形成。</w:t>
      </w:r>
    </w:p>
    <w:p>
      <w:pPr>
        <w:pStyle w:val="4"/>
        <w:widowControl/>
        <w:adjustRightInd w:val="0"/>
        <w:spacing w:beforeAutospacing="0" w:afterAutospacing="0"/>
        <w:ind w:firstLine="640" w:firstLineChars="200"/>
        <w:jc w:val="both"/>
        <w:rPr>
          <w:rFonts w:hint="eastAsia" w:ascii="方正仿宋_GBK" w:hAnsi="宋体" w:eastAsia="方正仿宋_GBK" w:cs="宋体"/>
          <w:sz w:val="32"/>
          <w:szCs w:val="32"/>
        </w:rPr>
      </w:pPr>
      <w:r>
        <w:rPr>
          <w:rFonts w:hint="eastAsia" w:ascii="方正楷体_GBK" w:hAnsi="宋体" w:eastAsia="方正楷体_GBK" w:cs="宋体"/>
          <w:sz w:val="32"/>
          <w:szCs w:val="32"/>
        </w:rPr>
        <w:t>（二）支出效益逐步提高。</w:t>
      </w:r>
      <w:r>
        <w:rPr>
          <w:rFonts w:hint="eastAsia" w:ascii="方正仿宋_GBK" w:hAnsi="宋体" w:eastAsia="方正仿宋_GBK" w:cs="宋体"/>
          <w:sz w:val="32"/>
          <w:szCs w:val="32"/>
        </w:rPr>
        <w:t>通过绩效评价，对项目运行和资金使用情况进行跟踪问效，促进了财政支出效益的进一步提高。</w:t>
      </w:r>
    </w:p>
    <w:p>
      <w:pPr>
        <w:pStyle w:val="4"/>
        <w:widowControl/>
        <w:adjustRightInd w:val="0"/>
        <w:spacing w:beforeAutospacing="0" w:afterAutospacing="0"/>
        <w:ind w:firstLine="640" w:firstLineChars="200"/>
        <w:jc w:val="both"/>
        <w:rPr>
          <w:rFonts w:hint="eastAsia" w:ascii="方正仿宋_GBK" w:hAnsi="宋体" w:eastAsia="方正仿宋_GBK" w:cs="宋体"/>
          <w:sz w:val="32"/>
          <w:szCs w:val="32"/>
        </w:rPr>
      </w:pPr>
      <w:r>
        <w:rPr>
          <w:rFonts w:hint="eastAsia" w:ascii="方正楷体_GBK" w:hAnsi="宋体" w:eastAsia="方正楷体_GBK" w:cs="宋体"/>
          <w:sz w:val="32"/>
          <w:szCs w:val="32"/>
        </w:rPr>
        <w:t>（三）支出结构得到优化。</w:t>
      </w:r>
      <w:r>
        <w:rPr>
          <w:rFonts w:hint="eastAsia" w:ascii="方正仿宋_GBK" w:hAnsi="宋体" w:eastAsia="方正仿宋_GBK" w:cs="宋体"/>
          <w:sz w:val="32"/>
          <w:szCs w:val="32"/>
        </w:rPr>
        <w:t>强化绩效评价结果运用，将评价结果作为次年预算编制的重要依据。对绩效优秀的项目，在资金安排上优先考虑；对绩效较差的项目，从严把握，以逐步规范财政资金投向，优化财政支出结构。</w:t>
      </w:r>
    </w:p>
    <w:p>
      <w:pPr>
        <w:pStyle w:val="4"/>
        <w:widowControl/>
        <w:adjustRightInd w:val="0"/>
        <w:spacing w:beforeAutospacing="0" w:afterAutospacing="0"/>
        <w:ind w:firstLine="640" w:firstLineChars="200"/>
        <w:jc w:val="both"/>
        <w:rPr>
          <w:rFonts w:hint="eastAsia" w:ascii="方正仿宋_GBK" w:hAnsi="宋体" w:eastAsia="方正仿宋_GBK" w:cs="宋体"/>
          <w:sz w:val="32"/>
          <w:szCs w:val="32"/>
        </w:rPr>
      </w:pPr>
      <w:r>
        <w:rPr>
          <w:rFonts w:hint="eastAsia" w:ascii="方正楷体_GBK" w:hAnsi="宋体" w:eastAsia="方正楷体_GBK" w:cs="宋体"/>
          <w:sz w:val="32"/>
          <w:szCs w:val="32"/>
        </w:rPr>
        <w:t>（四）管理水平有效提高。</w:t>
      </w:r>
      <w:r>
        <w:rPr>
          <w:rFonts w:hint="eastAsia" w:ascii="方正仿宋_GBK" w:hAnsi="宋体" w:eastAsia="方正仿宋_GBK" w:cs="宋体"/>
          <w:sz w:val="32"/>
          <w:szCs w:val="32"/>
        </w:rPr>
        <w:t>通过开展财政支出绩效评价，进一步完善了我镇《财政专项资金管理办法》和《政府投资项目资金管理办法》等一系列管理制度，为加强和规范财政资金的使用提供了有力保障。通过绩效评价工作的开展，有力推动了各部门、单位加强项目的规划与科学论证，健全了项目资金的核算与管理制度，改进资金使用管理方式，提高了管理水平。</w:t>
      </w:r>
    </w:p>
    <w:p>
      <w:pPr>
        <w:pStyle w:val="4"/>
        <w:widowControl/>
        <w:adjustRightInd w:val="0"/>
        <w:spacing w:beforeAutospacing="0" w:afterAutospacing="0"/>
        <w:ind w:firstLine="640" w:firstLineChars="200"/>
        <w:jc w:val="both"/>
        <w:rPr>
          <w:rFonts w:hint="eastAsia" w:ascii="方正仿宋_GBK" w:hAnsi="宋体" w:eastAsia="方正仿宋_GBK" w:cs="宋体"/>
          <w:sz w:val="32"/>
          <w:szCs w:val="32"/>
        </w:rPr>
      </w:pPr>
      <w:r>
        <w:rPr>
          <w:rFonts w:hint="eastAsia" w:ascii="方正黑体_GBK" w:hAnsi="宋体" w:eastAsia="方正黑体_GBK" w:cs="宋体"/>
          <w:sz w:val="32"/>
          <w:szCs w:val="32"/>
        </w:rPr>
        <w:t>三、存在的问题</w:t>
      </w:r>
    </w:p>
    <w:p>
      <w:pPr>
        <w:pStyle w:val="4"/>
        <w:widowControl/>
        <w:adjustRightInd w:val="0"/>
        <w:spacing w:beforeAutospacing="0" w:afterAutospacing="0"/>
        <w:ind w:firstLine="640" w:firstLineChars="200"/>
        <w:jc w:val="both"/>
        <w:rPr>
          <w:rFonts w:hint="eastAsia" w:ascii="方正仿宋_GBK" w:hAnsi="宋体" w:eastAsia="方正仿宋_GBK" w:cs="宋体"/>
          <w:sz w:val="32"/>
          <w:szCs w:val="32"/>
        </w:rPr>
      </w:pPr>
      <w:r>
        <w:rPr>
          <w:rFonts w:hint="eastAsia" w:ascii="方正仿宋_GBK" w:hAnsi="宋体" w:eastAsia="方正仿宋_GBK" w:cs="宋体"/>
          <w:sz w:val="32"/>
          <w:szCs w:val="32"/>
        </w:rPr>
        <w:t>一是思想认识尚不到位。个别部门和单位对于绩效评价工作的重要性认识不足，消极被动、缺乏主动性。二是评价指标体系设置难度大。由于财政支出的多样性和复杂性，绩效评价指标体系设置难度很大，即使可以量化，往往很多项目间也缺乏可比性，而且指标本身也在逐步变化，需要逐步建立。三是绩效评价机构不健全，缺乏绩效评价专业人才。因此，绩效评价工作所花的精力不够，绩效评价的深度和广度受到限制，绩效评价工作质量也受到较大影响。四是评价结果运用不够。由于绩效评价水平和质量不够高，部分项目绩效评价还只停留在反映情况和问题上，没有完全将评价结果作为次年预算编制的重要依据，没有真正与规范预算管理、完善预算编制、加强部门管理及提高资金使用效益有效结合起来。</w:t>
      </w:r>
    </w:p>
    <w:p>
      <w:pPr>
        <w:pStyle w:val="4"/>
        <w:widowControl/>
        <w:adjustRightInd w:val="0"/>
        <w:spacing w:beforeAutospacing="0" w:afterAutospacing="0"/>
        <w:ind w:firstLine="640" w:firstLineChars="200"/>
        <w:jc w:val="both"/>
        <w:rPr>
          <w:rFonts w:hint="eastAsia" w:ascii="方正黑体_GBK" w:hAnsi="宋体" w:eastAsia="方正黑体_GBK" w:cs="宋体"/>
          <w:sz w:val="32"/>
          <w:szCs w:val="32"/>
        </w:rPr>
      </w:pPr>
      <w:r>
        <w:rPr>
          <w:rFonts w:hint="eastAsia" w:ascii="方正黑体_GBK" w:hAnsi="宋体" w:eastAsia="方正黑体_GBK" w:cs="宋体"/>
          <w:sz w:val="32"/>
          <w:szCs w:val="32"/>
        </w:rPr>
        <w:t>四、下一步工作思路及相关工作建议</w:t>
      </w:r>
    </w:p>
    <w:p>
      <w:pPr>
        <w:pStyle w:val="4"/>
        <w:widowControl/>
        <w:adjustRightInd w:val="0"/>
        <w:spacing w:beforeAutospacing="0" w:afterAutospacing="0"/>
        <w:ind w:firstLine="640" w:firstLineChars="200"/>
        <w:jc w:val="both"/>
        <w:rPr>
          <w:rFonts w:hint="eastAsia" w:ascii="方正仿宋_GBK" w:hAnsi="宋体" w:eastAsia="方正仿宋_GBK" w:cs="宋体"/>
          <w:sz w:val="32"/>
          <w:szCs w:val="32"/>
        </w:rPr>
      </w:pPr>
      <w:r>
        <w:rPr>
          <w:rFonts w:hint="eastAsia" w:ascii="方正楷体_GBK" w:hAnsi="宋体" w:eastAsia="方正楷体_GBK" w:cs="宋体"/>
          <w:sz w:val="32"/>
          <w:szCs w:val="32"/>
        </w:rPr>
        <w:t>（一）加大宣传力度，提高认识，加强领导，充分认识财政支出绩效评价的重要性和必要性。</w:t>
      </w:r>
      <w:r>
        <w:rPr>
          <w:rFonts w:hint="eastAsia" w:ascii="方正仿宋_GBK" w:hAnsi="宋体" w:eastAsia="方正仿宋_GBK" w:cs="宋体"/>
          <w:sz w:val="32"/>
          <w:szCs w:val="32"/>
        </w:rPr>
        <w:t>财政支出进行绩效评价是建立公共财政体系和财政支出管理改革的必然要求，是转变政府职能、建立高效廉洁政府和构建和谐社会的客观需要。要求各部门必须统一思想认识，强化责任意识，把财政支出绩效评价工作列入重要议事日程，积极配合，做好工作；大力宣传财政支出绩效评价的目的意义、实际应用和评价项目成果，及时公布绩效评价有关政策、制度，积极营造良好的工作氛围。在政府部门建立相应的工作机构，负责组织协调财政支出绩效评价的开展、督促检查和培训指导，并把这项工作作为深化财政支出管理体制改革、提高财政资金使用效益的长效机制。</w:t>
      </w:r>
    </w:p>
    <w:p>
      <w:pPr>
        <w:pStyle w:val="4"/>
        <w:widowControl/>
        <w:adjustRightInd w:val="0"/>
        <w:spacing w:beforeAutospacing="0" w:afterAutospacing="0"/>
        <w:ind w:firstLine="640" w:firstLineChars="200"/>
        <w:jc w:val="both"/>
        <w:rPr>
          <w:rFonts w:hint="eastAsia" w:ascii="方正仿宋_GBK" w:hAnsi="宋体" w:eastAsia="方正仿宋_GBK" w:cs="宋体"/>
          <w:sz w:val="32"/>
          <w:szCs w:val="32"/>
        </w:rPr>
      </w:pPr>
      <w:r>
        <w:rPr>
          <w:rFonts w:hint="eastAsia" w:ascii="方正楷体_GBK" w:hAnsi="宋体" w:eastAsia="方正楷体_GBK" w:cs="宋体"/>
          <w:sz w:val="32"/>
          <w:szCs w:val="32"/>
        </w:rPr>
        <w:t>（二）加大绩效评价工作推进力度。</w:t>
      </w:r>
      <w:r>
        <w:rPr>
          <w:rFonts w:hint="eastAsia" w:ascii="方正仿宋_GBK" w:hAnsi="宋体" w:eastAsia="方正仿宋_GBK" w:cs="宋体"/>
          <w:sz w:val="32"/>
          <w:szCs w:val="32"/>
        </w:rPr>
        <w:t>将绩效评价纳入财政常态</w:t>
      </w:r>
      <w:r>
        <w:rPr>
          <w:rFonts w:hint="eastAsia" w:ascii="方正仿宋_GBK" w:hAnsi="宋体" w:eastAsia="方正仿宋_GBK" w:cs="宋体"/>
          <w:sz w:val="32"/>
          <w:szCs w:val="32"/>
          <w:lang w:eastAsia="zh-CN"/>
        </w:rPr>
        <w:t>化</w:t>
      </w:r>
      <w:r>
        <w:rPr>
          <w:rFonts w:hint="eastAsia" w:ascii="方正仿宋_GBK" w:hAnsi="宋体" w:eastAsia="方正仿宋_GBK" w:cs="宋体"/>
          <w:sz w:val="32"/>
          <w:szCs w:val="32"/>
        </w:rPr>
        <w:t>工作来抓，早安排、找落实。进一步完善绩效评价制度，出台我区开展财政支出绩效评价工作实施办法，具体就指标体系、操作程序等作进一步的明确规定，以建立便于操作、适合我镇特色的绩效评价管理办法、工作流程、专家选定方法等制度，重点是根据各类专项资金各自的功能作用、绩效目标和具体要求，确定科学的评价指标、评价标准和评价办法，形成科学、规范的评价体系。进一步扩大绩效评价范围，对重大的、关系人民群众利益的专项资金，一律进行绩效评价，使绩效评价成为专项资金管理的必</w:t>
      </w:r>
      <w:r>
        <w:rPr>
          <w:rFonts w:hint="eastAsia" w:ascii="方正仿宋_GBK" w:hAnsi="宋体" w:eastAsia="方正仿宋_GBK" w:cs="宋体"/>
          <w:sz w:val="32"/>
          <w:szCs w:val="32"/>
          <w:lang w:eastAsia="zh-CN"/>
        </w:rPr>
        <w:t>需</w:t>
      </w:r>
      <w:r>
        <w:rPr>
          <w:rFonts w:hint="eastAsia" w:ascii="方正仿宋_GBK" w:hAnsi="宋体" w:eastAsia="方正仿宋_GBK" w:cs="宋体"/>
          <w:sz w:val="32"/>
          <w:szCs w:val="32"/>
        </w:rPr>
        <w:t>环节。</w:t>
      </w:r>
    </w:p>
    <w:p>
      <w:pPr>
        <w:pStyle w:val="4"/>
        <w:widowControl/>
        <w:adjustRightInd w:val="0"/>
        <w:spacing w:beforeAutospacing="0" w:afterAutospacing="0"/>
        <w:ind w:firstLine="640" w:firstLineChars="200"/>
        <w:jc w:val="both"/>
        <w:rPr>
          <w:rFonts w:hint="eastAsia" w:ascii="方正仿宋_GBK" w:hAnsi="宋体" w:eastAsia="方正仿宋_GBK" w:cs="宋体"/>
          <w:sz w:val="32"/>
          <w:szCs w:val="32"/>
        </w:rPr>
      </w:pPr>
      <w:r>
        <w:rPr>
          <w:rFonts w:hint="eastAsia" w:ascii="方正楷体_GBK" w:hAnsi="宋体" w:eastAsia="方正楷体_GBK" w:cs="宋体"/>
          <w:sz w:val="32"/>
          <w:szCs w:val="32"/>
        </w:rPr>
        <w:t>（三）强化绩效评价结果的运用。</w:t>
      </w:r>
      <w:r>
        <w:rPr>
          <w:rFonts w:hint="eastAsia" w:ascii="方正仿宋_GBK" w:hAnsi="宋体" w:eastAsia="方正仿宋_GBK" w:cs="宋体"/>
          <w:sz w:val="32"/>
          <w:szCs w:val="32"/>
        </w:rPr>
        <w:t>把绩效评价结果作为下年度安排部门预算和考核部门工作业绩的重要依据，进一步优化财政资源配置，对绩效低下的专项资金，取消或调整支持方式，调整支出结构，使财政资金的安排使用更趋合理、有效。建立绩效评价结果报告和公示制度，绩效评价结果在一定范围内公布，以增强财政资金使用的透明度，加强绩效评价工作的规范性和约束力，发挥绩效评价对财政资金的跟踪问效作用和决策信息反馈作用。</w:t>
      </w:r>
    </w:p>
    <w:p>
      <w:pPr>
        <w:pStyle w:val="4"/>
        <w:widowControl/>
        <w:adjustRightInd w:val="0"/>
        <w:spacing w:beforeAutospacing="0" w:afterAutospacing="0"/>
        <w:ind w:firstLine="640" w:firstLineChars="200"/>
        <w:jc w:val="both"/>
        <w:rPr>
          <w:rFonts w:hint="eastAsia" w:ascii="方正黑体_GBK" w:hAnsi="宋体" w:eastAsia="方正黑体_GBK" w:cs="宋体"/>
          <w:b/>
          <w:sz w:val="32"/>
          <w:szCs w:val="32"/>
        </w:rPr>
      </w:pPr>
      <w:r>
        <w:rPr>
          <w:rStyle w:val="7"/>
          <w:rFonts w:hint="eastAsia" w:ascii="方正黑体_GBK" w:hAnsi="宋体" w:eastAsia="方正黑体_GBK" w:cs="宋体"/>
          <w:b w:val="0"/>
          <w:sz w:val="32"/>
          <w:szCs w:val="32"/>
        </w:rPr>
        <w:t>六、专业名词解释</w:t>
      </w:r>
    </w:p>
    <w:p>
      <w:pPr>
        <w:pStyle w:val="4"/>
        <w:widowControl/>
        <w:adjustRightInd w:val="0"/>
        <w:spacing w:beforeAutospacing="0" w:afterAutospacing="0"/>
        <w:ind w:firstLine="642" w:firstLineChars="200"/>
        <w:jc w:val="both"/>
        <w:rPr>
          <w:rFonts w:hint="eastAsia" w:ascii="方正仿宋_GBK" w:hAnsi="宋体" w:eastAsia="方正仿宋_GBK" w:cs="宋体"/>
          <w:sz w:val="32"/>
          <w:szCs w:val="32"/>
        </w:rPr>
      </w:pPr>
      <w:r>
        <w:rPr>
          <w:rStyle w:val="7"/>
          <w:rFonts w:hint="eastAsia" w:ascii="方正仿宋_GBK" w:hAnsi="宋体" w:eastAsia="方正仿宋_GBK" w:cs="宋体"/>
          <w:sz w:val="32"/>
          <w:szCs w:val="32"/>
        </w:rPr>
        <w:t>（一）财政拨款收入</w:t>
      </w:r>
      <w:r>
        <w:rPr>
          <w:rFonts w:hint="eastAsia" w:ascii="方正仿宋_GBK" w:hAnsi="宋体" w:eastAsia="方正仿宋_GBK" w:cs="宋体"/>
          <w:sz w:val="32"/>
          <w:szCs w:val="32"/>
        </w:rPr>
        <w:t>：指本年度从本级财政部门取得的财政拨款，包括一般公共预算财政拨款和政府性基金预算财政拨款。</w:t>
      </w:r>
    </w:p>
    <w:p>
      <w:pPr>
        <w:pStyle w:val="4"/>
        <w:widowControl/>
        <w:adjustRightInd w:val="0"/>
        <w:spacing w:beforeAutospacing="0" w:afterAutospacing="0"/>
        <w:ind w:firstLine="642" w:firstLineChars="200"/>
        <w:jc w:val="both"/>
        <w:rPr>
          <w:rFonts w:hint="eastAsia" w:ascii="方正仿宋_GBK" w:hAnsi="宋体" w:eastAsia="方正仿宋_GBK" w:cs="宋体"/>
          <w:sz w:val="32"/>
          <w:szCs w:val="32"/>
        </w:rPr>
      </w:pPr>
      <w:r>
        <w:rPr>
          <w:rStyle w:val="7"/>
          <w:rFonts w:hint="eastAsia" w:ascii="方正仿宋_GBK" w:hAnsi="宋体" w:eastAsia="方正仿宋_GBK" w:cs="宋体"/>
          <w:sz w:val="32"/>
          <w:szCs w:val="32"/>
        </w:rPr>
        <w:t>（二）事业收入</w:t>
      </w:r>
      <w:r>
        <w:rPr>
          <w:rFonts w:hint="eastAsia" w:ascii="方正仿宋_GBK" w:hAnsi="宋体" w:eastAsia="方正仿宋_GBK" w:cs="宋体"/>
          <w:sz w:val="32"/>
          <w:szCs w:val="32"/>
        </w:rPr>
        <w:t>：指事业单位开展专业业务活动及其辅助活动取得的现金流入；事业单位收到的财政专户实际核拨的教育收费等资金在此反映。</w:t>
      </w:r>
    </w:p>
    <w:p>
      <w:pPr>
        <w:pStyle w:val="4"/>
        <w:widowControl/>
        <w:adjustRightInd w:val="0"/>
        <w:spacing w:beforeAutospacing="0" w:afterAutospacing="0"/>
        <w:ind w:firstLine="642" w:firstLineChars="200"/>
        <w:jc w:val="both"/>
        <w:rPr>
          <w:rFonts w:hint="eastAsia" w:ascii="方正仿宋_GBK" w:hAnsi="宋体" w:eastAsia="方正仿宋_GBK" w:cs="宋体"/>
          <w:sz w:val="32"/>
          <w:szCs w:val="32"/>
        </w:rPr>
      </w:pPr>
      <w:r>
        <w:rPr>
          <w:rStyle w:val="7"/>
          <w:rFonts w:hint="eastAsia" w:ascii="方正仿宋_GBK" w:hAnsi="宋体" w:eastAsia="方正仿宋_GBK" w:cs="宋体"/>
          <w:sz w:val="32"/>
          <w:szCs w:val="32"/>
        </w:rPr>
        <w:t>（三）经营收入</w:t>
      </w:r>
      <w:r>
        <w:rPr>
          <w:rFonts w:hint="eastAsia" w:ascii="方正仿宋_GBK" w:hAnsi="宋体" w:eastAsia="方正仿宋_GBK" w:cs="宋体"/>
          <w:sz w:val="32"/>
          <w:szCs w:val="32"/>
        </w:rPr>
        <w:t>：指事业单位在专业业务活动及其辅助活动之外开展非独立核算经营活动取得的现金流入。</w:t>
      </w:r>
    </w:p>
    <w:p>
      <w:pPr>
        <w:pStyle w:val="4"/>
        <w:widowControl/>
        <w:adjustRightInd w:val="0"/>
        <w:spacing w:beforeAutospacing="0" w:afterAutospacing="0"/>
        <w:ind w:firstLine="642" w:firstLineChars="200"/>
        <w:jc w:val="both"/>
        <w:rPr>
          <w:rFonts w:hint="eastAsia" w:ascii="方正仿宋_GBK" w:hAnsi="宋体" w:eastAsia="方正仿宋_GBK" w:cs="宋体"/>
          <w:sz w:val="32"/>
          <w:szCs w:val="32"/>
        </w:rPr>
      </w:pPr>
      <w:r>
        <w:rPr>
          <w:rStyle w:val="7"/>
          <w:rFonts w:hint="eastAsia" w:ascii="方正仿宋_GBK" w:hAnsi="宋体" w:eastAsia="方正仿宋_GBK" w:cs="宋体"/>
          <w:sz w:val="32"/>
          <w:szCs w:val="32"/>
        </w:rPr>
        <w:t>（四）其他收入</w:t>
      </w:r>
      <w:r>
        <w:rPr>
          <w:rFonts w:hint="eastAsia" w:ascii="方正仿宋_GBK" w:hAnsi="宋体" w:eastAsia="方正仿宋_GBK" w:cs="宋体"/>
          <w:sz w:val="32"/>
          <w:szCs w:val="32"/>
        </w:rPr>
        <w:t>： 指单位取得的除“财政拨款收入”、“事业收入”、“经营收入”等以外的收入，包括未纳入财政预算或财政专户管理的投资收益、银行存款利息收入、租金收入、 捐赠收入，现金盘盈收入、存货盘盈收入、收回已核销的应收及预付款项、无法偿付的应付及预收款项等。各单位从本级财政部门以外的同级单位取得的经费、从非 本级财政部门取得的经费，以及行政单位收到的财政专户管理资金反映在本项内。</w:t>
      </w:r>
    </w:p>
    <w:p>
      <w:pPr>
        <w:pStyle w:val="4"/>
        <w:widowControl/>
        <w:adjustRightInd w:val="0"/>
        <w:spacing w:beforeAutospacing="0" w:afterAutospacing="0"/>
        <w:ind w:firstLine="642" w:firstLineChars="200"/>
        <w:jc w:val="both"/>
        <w:rPr>
          <w:rFonts w:hint="eastAsia" w:ascii="方正仿宋_GBK" w:hAnsi="宋体" w:eastAsia="方正仿宋_GBK" w:cs="宋体"/>
          <w:sz w:val="32"/>
          <w:szCs w:val="32"/>
        </w:rPr>
      </w:pPr>
      <w:r>
        <w:rPr>
          <w:rStyle w:val="7"/>
          <w:rFonts w:hint="eastAsia" w:ascii="方正仿宋_GBK" w:hAnsi="宋体" w:eastAsia="方正仿宋_GBK" w:cs="宋体"/>
          <w:sz w:val="32"/>
          <w:szCs w:val="32"/>
        </w:rPr>
        <w:t>（五）使用非财政拨款结余</w:t>
      </w:r>
      <w:r>
        <w:rPr>
          <w:rFonts w:hint="eastAsia" w:ascii="方正仿宋_GBK" w:hAnsi="宋体" w:eastAsia="方正仿宋_GBK" w:cs="宋体"/>
          <w:sz w:val="32"/>
          <w:szCs w:val="32"/>
        </w:rPr>
        <w:t>：指单位在当年的“财政拨款收入”、“事业收入”、“经营收入”、“其他收入”等不足以安排当年支出的情况下，使用以前年度积累的非财政拨款结余弥补本年度收支缺口的资金。</w:t>
      </w:r>
    </w:p>
    <w:p>
      <w:pPr>
        <w:pStyle w:val="4"/>
        <w:widowControl/>
        <w:adjustRightInd w:val="0"/>
        <w:spacing w:beforeAutospacing="0" w:afterAutospacing="0"/>
        <w:ind w:firstLine="642" w:firstLineChars="200"/>
        <w:jc w:val="both"/>
        <w:rPr>
          <w:rFonts w:hint="eastAsia" w:ascii="方正仿宋_GBK" w:hAnsi="宋体" w:eastAsia="方正仿宋_GBK" w:cs="宋体"/>
          <w:sz w:val="32"/>
          <w:szCs w:val="32"/>
        </w:rPr>
      </w:pPr>
      <w:r>
        <w:rPr>
          <w:rStyle w:val="7"/>
          <w:rFonts w:hint="eastAsia" w:ascii="方正仿宋_GBK" w:hAnsi="宋体" w:eastAsia="方正仿宋_GBK" w:cs="宋体"/>
          <w:sz w:val="32"/>
          <w:szCs w:val="32"/>
        </w:rPr>
        <w:t>（六）年初结转和结余</w:t>
      </w:r>
      <w:r>
        <w:rPr>
          <w:rFonts w:hint="eastAsia" w:ascii="方正仿宋_GBK" w:hAnsi="宋体" w:eastAsia="方正仿宋_GBK" w:cs="宋体"/>
          <w:sz w:val="32"/>
          <w:szCs w:val="32"/>
        </w:rPr>
        <w:t>：指单位上年结转本年使用的基本支出结转、项目支出结转和结余、经营结余。</w:t>
      </w:r>
    </w:p>
    <w:p>
      <w:pPr>
        <w:pStyle w:val="4"/>
        <w:widowControl/>
        <w:adjustRightInd w:val="0"/>
        <w:spacing w:beforeAutospacing="0" w:afterAutospacing="0"/>
        <w:ind w:firstLine="642" w:firstLineChars="200"/>
        <w:jc w:val="both"/>
        <w:rPr>
          <w:rFonts w:hint="eastAsia" w:ascii="方正仿宋_GBK" w:hAnsi="宋体" w:eastAsia="方正仿宋_GBK" w:cs="宋体"/>
          <w:sz w:val="32"/>
          <w:szCs w:val="32"/>
        </w:rPr>
      </w:pPr>
      <w:r>
        <w:rPr>
          <w:rStyle w:val="7"/>
          <w:rFonts w:hint="eastAsia" w:ascii="方正仿宋_GBK" w:hAnsi="宋体" w:eastAsia="方正仿宋_GBK" w:cs="宋体"/>
          <w:sz w:val="32"/>
          <w:szCs w:val="32"/>
        </w:rPr>
        <w:t>（七）结余分配</w:t>
      </w:r>
      <w:r>
        <w:rPr>
          <w:rFonts w:hint="eastAsia" w:ascii="方正仿宋_GBK" w:hAnsi="宋体" w:eastAsia="方正仿宋_GBK" w:cs="宋体"/>
          <w:sz w:val="32"/>
          <w:szCs w:val="32"/>
        </w:rPr>
        <w:t>：指单位按照国家有关规定，</w:t>
      </w:r>
      <w:r>
        <w:rPr>
          <w:rFonts w:hint="eastAsia" w:ascii="方正仿宋_GBK" w:hAnsi="宋体" w:eastAsia="方正仿宋_GBK" w:cs="宋体"/>
          <w:sz w:val="32"/>
          <w:szCs w:val="32"/>
          <w:lang w:eastAsia="zh-CN"/>
        </w:rPr>
        <w:t>缴纳</w:t>
      </w:r>
      <w:r>
        <w:rPr>
          <w:rFonts w:hint="eastAsia" w:ascii="方正仿宋_GBK" w:hAnsi="宋体" w:eastAsia="方正仿宋_GBK" w:cs="宋体"/>
          <w:sz w:val="32"/>
          <w:szCs w:val="32"/>
        </w:rPr>
        <w:t>所得税、提取专用基金、转入非财政拨款结余等当年结余的分配情况。</w:t>
      </w:r>
    </w:p>
    <w:p>
      <w:pPr>
        <w:pStyle w:val="4"/>
        <w:widowControl/>
        <w:adjustRightInd w:val="0"/>
        <w:spacing w:beforeAutospacing="0" w:afterAutospacing="0"/>
        <w:ind w:firstLine="642" w:firstLineChars="200"/>
        <w:jc w:val="both"/>
        <w:rPr>
          <w:rFonts w:hint="eastAsia" w:ascii="方正仿宋_GBK" w:hAnsi="宋体" w:eastAsia="方正仿宋_GBK" w:cs="宋体"/>
          <w:sz w:val="32"/>
          <w:szCs w:val="32"/>
        </w:rPr>
      </w:pPr>
      <w:r>
        <w:rPr>
          <w:rStyle w:val="7"/>
          <w:rFonts w:hint="eastAsia" w:ascii="方正仿宋_GBK" w:hAnsi="宋体" w:eastAsia="方正仿宋_GBK" w:cs="宋体"/>
          <w:sz w:val="32"/>
          <w:szCs w:val="32"/>
        </w:rPr>
        <w:t>（八）年末结转和结余</w:t>
      </w:r>
      <w:r>
        <w:rPr>
          <w:rFonts w:hint="eastAsia" w:ascii="方正仿宋_GBK" w:hAnsi="宋体" w:eastAsia="方正仿宋_GBK" w:cs="宋体"/>
          <w:sz w:val="32"/>
          <w:szCs w:val="32"/>
        </w:rPr>
        <w:t>：指单位结转下年的基本支出结转、项目支出结转和结余、经营结余。</w:t>
      </w:r>
    </w:p>
    <w:p>
      <w:pPr>
        <w:pStyle w:val="4"/>
        <w:widowControl/>
        <w:adjustRightInd w:val="0"/>
        <w:spacing w:beforeAutospacing="0" w:afterAutospacing="0"/>
        <w:ind w:firstLine="642" w:firstLineChars="200"/>
        <w:jc w:val="both"/>
        <w:rPr>
          <w:rFonts w:hint="eastAsia" w:ascii="方正仿宋_GBK" w:hAnsi="宋体" w:eastAsia="方正仿宋_GBK" w:cs="宋体"/>
          <w:sz w:val="32"/>
          <w:szCs w:val="32"/>
        </w:rPr>
      </w:pPr>
      <w:r>
        <w:rPr>
          <w:rStyle w:val="7"/>
          <w:rFonts w:hint="eastAsia" w:ascii="方正仿宋_GBK" w:hAnsi="宋体" w:eastAsia="方正仿宋_GBK" w:cs="宋体"/>
          <w:sz w:val="32"/>
          <w:szCs w:val="32"/>
        </w:rPr>
        <w:t>（九）基本支出</w:t>
      </w:r>
      <w:r>
        <w:rPr>
          <w:rFonts w:hint="eastAsia" w:ascii="方正仿宋_GBK" w:hAnsi="宋体" w:eastAsia="方正仿宋_GBK" w:cs="宋体"/>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4"/>
        <w:widowControl/>
        <w:adjustRightInd w:val="0"/>
        <w:spacing w:beforeAutospacing="0" w:afterAutospacing="0"/>
        <w:ind w:firstLine="642" w:firstLineChars="200"/>
        <w:jc w:val="both"/>
        <w:rPr>
          <w:rFonts w:hint="eastAsia" w:ascii="方正仿宋_GBK" w:hAnsi="宋体" w:eastAsia="方正仿宋_GBK" w:cs="宋体"/>
          <w:sz w:val="32"/>
          <w:szCs w:val="32"/>
        </w:rPr>
      </w:pPr>
      <w:r>
        <w:rPr>
          <w:rStyle w:val="7"/>
          <w:rFonts w:hint="eastAsia" w:ascii="方正仿宋_GBK" w:hAnsi="宋体" w:eastAsia="方正仿宋_GBK" w:cs="宋体"/>
          <w:sz w:val="32"/>
          <w:szCs w:val="32"/>
        </w:rPr>
        <w:t>（十）项目支出</w:t>
      </w:r>
      <w:r>
        <w:rPr>
          <w:rFonts w:hint="eastAsia" w:ascii="方正仿宋_GBK" w:hAnsi="宋体" w:eastAsia="方正仿宋_GBK" w:cs="宋体"/>
          <w:sz w:val="32"/>
          <w:szCs w:val="32"/>
        </w:rPr>
        <w:t>：指在基本支出之外为完成特定行政任务和事业发展目标所发生的支出。</w:t>
      </w:r>
    </w:p>
    <w:p>
      <w:pPr>
        <w:pStyle w:val="4"/>
        <w:widowControl/>
        <w:adjustRightInd w:val="0"/>
        <w:spacing w:beforeAutospacing="0" w:afterAutospacing="0"/>
        <w:ind w:firstLine="642" w:firstLineChars="200"/>
        <w:jc w:val="both"/>
        <w:rPr>
          <w:rFonts w:hint="eastAsia" w:ascii="方正仿宋_GBK" w:hAnsi="宋体" w:eastAsia="方正仿宋_GBK" w:cs="宋体"/>
          <w:sz w:val="32"/>
          <w:szCs w:val="32"/>
        </w:rPr>
      </w:pPr>
      <w:r>
        <w:rPr>
          <w:rStyle w:val="7"/>
          <w:rFonts w:hint="eastAsia" w:ascii="方正仿宋_GBK" w:hAnsi="宋体" w:eastAsia="方正仿宋_GBK" w:cs="宋体"/>
          <w:sz w:val="32"/>
          <w:szCs w:val="32"/>
        </w:rPr>
        <w:t>（十一）经营支出</w:t>
      </w:r>
      <w:r>
        <w:rPr>
          <w:rFonts w:hint="eastAsia" w:ascii="方正仿宋_GBK" w:hAnsi="宋体" w:eastAsia="方正仿宋_GBK" w:cs="宋体"/>
          <w:sz w:val="32"/>
          <w:szCs w:val="32"/>
        </w:rPr>
        <w:t>：指事业单位在专业业务活动及其辅助活动之外开展非独立核算经营活动发生的支出。</w:t>
      </w:r>
    </w:p>
    <w:p>
      <w:pPr>
        <w:pStyle w:val="4"/>
        <w:widowControl/>
        <w:adjustRightInd w:val="0"/>
        <w:spacing w:beforeAutospacing="0" w:afterAutospacing="0"/>
        <w:ind w:firstLine="642" w:firstLineChars="200"/>
        <w:jc w:val="both"/>
        <w:rPr>
          <w:rFonts w:hint="eastAsia" w:ascii="方正仿宋_GBK" w:hAnsi="宋体" w:eastAsia="方正仿宋_GBK" w:cs="宋体"/>
          <w:sz w:val="32"/>
          <w:szCs w:val="32"/>
        </w:rPr>
      </w:pPr>
      <w:r>
        <w:rPr>
          <w:rStyle w:val="7"/>
          <w:rFonts w:hint="eastAsia" w:ascii="方正仿宋_GBK" w:hAnsi="宋体" w:eastAsia="方正仿宋_GBK" w:cs="宋体"/>
          <w:sz w:val="32"/>
          <w:szCs w:val="32"/>
        </w:rPr>
        <w:t>（十二）“三公”经费</w:t>
      </w:r>
      <w:r>
        <w:rPr>
          <w:rFonts w:hint="eastAsia" w:ascii="方正仿宋_GBK" w:hAnsi="宋体" w:eastAsia="方正仿宋_GBK" w:cs="宋体"/>
          <w:sz w:val="32"/>
          <w:szCs w:val="32"/>
        </w:rPr>
        <w:t>： 指用一般公共预算财政拨款安排的因公出国（境）费、公务用车购置及运行维护费、公务接待费。其中，因公出国（境）费反映单位公务出国（境）的国际旅费、国 外城市间交通费、住宿费、伙食费、培训费、公杂费等支出；公务用车购置费反映单位公务用车购置支出（含车辆购置税）；公务用车运行维护费反映单位按规定保 留的公务用车燃料费、维修费、过路过桥费、保险费、安全奖励费用等支出；公务接待费反映单位按规定开支的各类公务接待（含外宾接待）支出。</w:t>
      </w:r>
    </w:p>
    <w:p>
      <w:pPr>
        <w:pStyle w:val="4"/>
        <w:widowControl/>
        <w:adjustRightInd w:val="0"/>
        <w:spacing w:beforeAutospacing="0" w:afterAutospacing="0"/>
        <w:ind w:firstLine="642" w:firstLineChars="200"/>
        <w:jc w:val="both"/>
        <w:rPr>
          <w:rFonts w:hint="eastAsia" w:ascii="方正仿宋_GBK" w:hAnsi="宋体" w:eastAsia="方正仿宋_GBK" w:cs="宋体"/>
          <w:sz w:val="32"/>
          <w:szCs w:val="32"/>
        </w:rPr>
      </w:pPr>
      <w:r>
        <w:rPr>
          <w:rStyle w:val="7"/>
          <w:rFonts w:hint="eastAsia" w:ascii="方正仿宋_GBK" w:hAnsi="宋体" w:eastAsia="方正仿宋_GBK" w:cs="宋体"/>
          <w:sz w:val="32"/>
          <w:szCs w:val="32"/>
        </w:rPr>
        <w:t>（十三）机关运行经费</w:t>
      </w:r>
      <w:r>
        <w:rPr>
          <w:rFonts w:hint="eastAsia" w:ascii="方正仿宋_GBK" w:hAnsi="宋体" w:eastAsia="方正仿宋_GBK" w:cs="宋体"/>
          <w:sz w:val="32"/>
          <w:szCs w:val="32"/>
        </w:rPr>
        <w:t>： 为保障行政单位（含参照公务员法管理的事业单位）运行用于购买货物和服务等的各项公用经费，包括办公及印刷费、邮电费、差旅费、会议费、福利费、日常维护 费、专用材料及一般设备购置费、办公用房水电费、办公用房取暖费、办公用房物业管理费、公务用车运行维护费以及其他费用。</w:t>
      </w:r>
    </w:p>
    <w:p>
      <w:pPr>
        <w:pStyle w:val="4"/>
        <w:widowControl/>
        <w:adjustRightInd w:val="0"/>
        <w:spacing w:beforeAutospacing="0" w:afterAutospacing="0"/>
        <w:ind w:firstLine="642" w:firstLineChars="200"/>
        <w:jc w:val="both"/>
        <w:rPr>
          <w:rFonts w:hint="eastAsia" w:ascii="方正仿宋_GBK" w:hAnsi="宋体" w:eastAsia="方正仿宋_GBK" w:cs="宋体"/>
          <w:sz w:val="32"/>
          <w:szCs w:val="32"/>
        </w:rPr>
      </w:pPr>
      <w:r>
        <w:rPr>
          <w:rStyle w:val="7"/>
          <w:rFonts w:hint="eastAsia" w:ascii="方正仿宋_GBK" w:hAnsi="宋体" w:eastAsia="方正仿宋_GBK" w:cs="宋体"/>
          <w:sz w:val="32"/>
          <w:szCs w:val="32"/>
        </w:rPr>
        <w:t>（十四）工资福利支出（支出经济分类科目类级）</w:t>
      </w:r>
      <w:r>
        <w:rPr>
          <w:rFonts w:hint="eastAsia" w:ascii="方正仿宋_GBK" w:hAnsi="宋体" w:eastAsia="方正仿宋_GBK" w:cs="宋体"/>
          <w:sz w:val="32"/>
          <w:szCs w:val="32"/>
        </w:rPr>
        <w:t>：反映单位开支的在职职工和编制外长期聘用人员的各类劳动报酬，以及为上述人员</w:t>
      </w:r>
      <w:r>
        <w:rPr>
          <w:rFonts w:hint="eastAsia" w:ascii="方正仿宋_GBK" w:hAnsi="宋体" w:eastAsia="方正仿宋_GBK" w:cs="宋体"/>
          <w:sz w:val="32"/>
          <w:szCs w:val="32"/>
          <w:lang w:eastAsia="zh-CN"/>
        </w:rPr>
        <w:t>交纳</w:t>
      </w:r>
      <w:r>
        <w:rPr>
          <w:rFonts w:hint="eastAsia" w:ascii="方正仿宋_GBK" w:hAnsi="宋体" w:eastAsia="方正仿宋_GBK" w:cs="宋体"/>
          <w:sz w:val="32"/>
          <w:szCs w:val="32"/>
        </w:rPr>
        <w:t>的各项社会保险费等。</w:t>
      </w:r>
    </w:p>
    <w:p>
      <w:pPr>
        <w:pStyle w:val="4"/>
        <w:widowControl/>
        <w:adjustRightInd w:val="0"/>
        <w:spacing w:beforeAutospacing="0" w:afterAutospacing="0"/>
        <w:ind w:firstLine="642" w:firstLineChars="200"/>
        <w:jc w:val="both"/>
        <w:rPr>
          <w:rFonts w:hint="eastAsia" w:ascii="方正仿宋_GBK" w:hAnsi="宋体" w:eastAsia="方正仿宋_GBK" w:cs="宋体"/>
          <w:sz w:val="32"/>
          <w:szCs w:val="32"/>
        </w:rPr>
      </w:pPr>
      <w:r>
        <w:rPr>
          <w:rStyle w:val="7"/>
          <w:rFonts w:hint="eastAsia" w:ascii="方正仿宋_GBK" w:hAnsi="宋体" w:eastAsia="方正仿宋_GBK" w:cs="宋体"/>
          <w:sz w:val="32"/>
          <w:szCs w:val="32"/>
        </w:rPr>
        <w:t>（十五）商品和服务支出（支出经济分类科目类级）</w:t>
      </w:r>
      <w:r>
        <w:rPr>
          <w:rFonts w:hint="eastAsia" w:ascii="方正仿宋_GBK" w:hAnsi="宋体" w:eastAsia="方正仿宋_GBK" w:cs="宋体"/>
          <w:sz w:val="32"/>
          <w:szCs w:val="32"/>
        </w:rPr>
        <w:t>：反映单位购买商品和服务的支出（不包括用于购置固定资产的支出、战略性和应急储备支出）。</w:t>
      </w:r>
    </w:p>
    <w:p>
      <w:pPr>
        <w:pStyle w:val="4"/>
        <w:widowControl/>
        <w:adjustRightInd w:val="0"/>
        <w:spacing w:beforeAutospacing="0" w:afterAutospacing="0"/>
        <w:ind w:firstLine="642" w:firstLineChars="200"/>
        <w:jc w:val="both"/>
        <w:rPr>
          <w:rFonts w:hint="eastAsia" w:ascii="方正仿宋_GBK" w:hAnsi="宋体" w:eastAsia="方正仿宋_GBK" w:cs="宋体"/>
          <w:sz w:val="32"/>
          <w:szCs w:val="32"/>
        </w:rPr>
      </w:pPr>
      <w:r>
        <w:rPr>
          <w:rStyle w:val="7"/>
          <w:rFonts w:hint="eastAsia" w:ascii="方正仿宋_GBK" w:hAnsi="宋体" w:eastAsia="方正仿宋_GBK" w:cs="宋体"/>
          <w:sz w:val="32"/>
          <w:szCs w:val="32"/>
        </w:rPr>
        <w:t>（十六）对个人和家庭的补助（支出经济分类科目类级）</w:t>
      </w:r>
      <w:r>
        <w:rPr>
          <w:rFonts w:hint="eastAsia" w:ascii="方正仿宋_GBK" w:hAnsi="宋体" w:eastAsia="方正仿宋_GBK" w:cs="宋体"/>
          <w:sz w:val="32"/>
          <w:szCs w:val="32"/>
        </w:rPr>
        <w:t>：反映用于对个人和家庭的补助支出。</w:t>
      </w:r>
    </w:p>
    <w:p>
      <w:pPr>
        <w:pStyle w:val="4"/>
        <w:widowControl/>
        <w:adjustRightInd w:val="0"/>
        <w:spacing w:beforeAutospacing="0" w:afterAutospacing="0"/>
        <w:ind w:firstLine="642" w:firstLineChars="200"/>
        <w:jc w:val="both"/>
        <w:rPr>
          <w:rFonts w:hint="eastAsia" w:ascii="方正仿宋_GBK" w:hAnsi="宋体" w:eastAsia="方正仿宋_GBK" w:cs="宋体"/>
          <w:sz w:val="32"/>
          <w:szCs w:val="32"/>
        </w:rPr>
      </w:pPr>
      <w:r>
        <w:rPr>
          <w:rStyle w:val="7"/>
          <w:rFonts w:hint="eastAsia" w:ascii="方正仿宋_GBK" w:hAnsi="宋体" w:eastAsia="方正仿宋_GBK" w:cs="宋体"/>
          <w:sz w:val="32"/>
          <w:szCs w:val="32"/>
        </w:rPr>
        <w:t>（十七）其他资本性支出（支出经济分类科目类级）</w:t>
      </w:r>
      <w:r>
        <w:rPr>
          <w:rFonts w:hint="eastAsia" w:ascii="方正仿宋_GBK" w:hAnsi="宋体" w:eastAsia="方正仿宋_GBK" w:cs="宋体"/>
          <w:sz w:val="32"/>
          <w:szCs w:val="32"/>
        </w:rPr>
        <w:t>：反映非各级发展与改革部门集中安排的用于购置固定资产、战略性和应急性储备、土地和无形资产，以及构建基础设施、大型修缮和财政支持企业更新改造所发生的支出。</w:t>
      </w:r>
    </w:p>
    <w:p>
      <w:pPr>
        <w:pStyle w:val="4"/>
        <w:widowControl/>
        <w:adjustRightInd w:val="0"/>
        <w:spacing w:beforeAutospacing="0" w:afterAutospacing="0"/>
        <w:ind w:firstLine="640" w:firstLineChars="200"/>
        <w:jc w:val="both"/>
        <w:rPr>
          <w:rFonts w:hint="eastAsia" w:ascii="方正黑体_GBK" w:hAnsi="宋体" w:eastAsia="方正黑体_GBK" w:cs="宋体"/>
          <w:b/>
          <w:sz w:val="32"/>
          <w:szCs w:val="32"/>
        </w:rPr>
      </w:pPr>
      <w:r>
        <w:rPr>
          <w:rStyle w:val="7"/>
          <w:rFonts w:hint="eastAsia" w:ascii="方正黑体_GBK" w:hAnsi="宋体" w:eastAsia="方正黑体_GBK" w:cs="宋体"/>
          <w:b w:val="0"/>
          <w:sz w:val="32"/>
          <w:szCs w:val="32"/>
        </w:rPr>
        <w:t>七、决算公开联系方式及信息反馈渠道</w:t>
      </w:r>
    </w:p>
    <w:p>
      <w:pPr>
        <w:adjustRightInd w:val="0"/>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本单位决算公开信息反馈和联系方式：办公电话023-53650001。</w:t>
      </w:r>
    </w:p>
    <w:sectPr>
      <w:footerReference r:id="rId3" w:type="default"/>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sz w:val="28"/>
        <w:szCs w:val="28"/>
      </w:rPr>
    </w:pPr>
    <w:r>
      <w:rPr>
        <w:rStyle w:val="8"/>
        <w:rFonts w:hint="eastAsia"/>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2</w:t>
    </w:r>
    <w:r>
      <w:rPr>
        <w:sz w:val="28"/>
        <w:szCs w:val="28"/>
      </w:rPr>
      <w:fldChar w:fldCharType="end"/>
    </w:r>
    <w:r>
      <w:rPr>
        <w:rStyle w:val="8"/>
        <w:rFonts w:hint="eastAsia"/>
        <w:sz w:val="28"/>
        <w:szCs w:val="28"/>
      </w:rPr>
      <w:t xml:space="preserve"> —</w:t>
    </w:r>
  </w:p>
  <w:p>
    <w:pPr>
      <w:pStyle w:val="2"/>
    </w:pP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283113"/>
    <w:multiLevelType w:val="singleLevel"/>
    <w:tmpl w:val="91283113"/>
    <w:lvl w:ilvl="0" w:tentative="0">
      <w:start w:val="1"/>
      <w:numFmt w:val="chineseCounting"/>
      <w:suff w:val="nothing"/>
      <w:lvlText w:val="%1、"/>
      <w:lvlJc w:val="left"/>
      <w:rPr>
        <w:rFonts w:hint="eastAsia"/>
      </w:rPr>
    </w:lvl>
  </w:abstractNum>
  <w:abstractNum w:abstractNumId="1">
    <w:nsid w:val="AAAE3C41"/>
    <w:multiLevelType w:val="singleLevel"/>
    <w:tmpl w:val="AAAE3C41"/>
    <w:lvl w:ilvl="0" w:tentative="0">
      <w:start w:val="2"/>
      <w:numFmt w:val="chineseCounting"/>
      <w:suff w:val="nothing"/>
      <w:lvlText w:val="（%1）"/>
      <w:lvlJc w:val="left"/>
      <w:pPr>
        <w:ind w:left="140" w:firstLine="0"/>
      </w:pPr>
      <w:rPr>
        <w:rFonts w:hint="eastAsia"/>
      </w:rPr>
    </w:lvl>
  </w:abstractNum>
  <w:abstractNum w:abstractNumId="2">
    <w:nsid w:val="038A638A"/>
    <w:multiLevelType w:val="singleLevel"/>
    <w:tmpl w:val="038A638A"/>
    <w:lvl w:ilvl="0" w:tentative="0">
      <w:start w:val="1"/>
      <w:numFmt w:val="chineseCounting"/>
      <w:suff w:val="nothing"/>
      <w:lvlText w:val="%1、"/>
      <w:lvlJc w:val="left"/>
      <w:rPr>
        <w:rFonts w:hint="eastAsia" w:ascii="方正黑体_GBK" w:eastAsia="方正黑体_GBK"/>
      </w:rPr>
    </w:lvl>
  </w:abstractNum>
  <w:abstractNum w:abstractNumId="3">
    <w:nsid w:val="0BE1421C"/>
    <w:multiLevelType w:val="singleLevel"/>
    <w:tmpl w:val="0BE1421C"/>
    <w:lvl w:ilvl="0" w:tentative="0">
      <w:start w:val="1"/>
      <w:numFmt w:val="chineseCounting"/>
      <w:suff w:val="nothing"/>
      <w:lvlText w:val="（%1）"/>
      <w:lvlJc w:val="left"/>
      <w:rPr>
        <w:rFonts w:hint="eastAsia" w:ascii="方正楷体_GBK" w:eastAsia="方正楷体_GBK"/>
      </w:rPr>
    </w:lvl>
  </w:abstractNum>
  <w:abstractNum w:abstractNumId="4">
    <w:nsid w:val="5F516B9F"/>
    <w:multiLevelType w:val="singleLevel"/>
    <w:tmpl w:val="5F516B9F"/>
    <w:lvl w:ilvl="0" w:tentative="0">
      <w:start w:val="1"/>
      <w:numFmt w:val="chineseCounting"/>
      <w:suff w:val="nothing"/>
      <w:lvlText w:val="%1、"/>
      <w:lvlJc w:val="left"/>
      <w:rPr>
        <w:rFonts w:hint="eastAsia"/>
      </w:rPr>
    </w:lvl>
  </w:abstractNum>
  <w:abstractNum w:abstractNumId="5">
    <w:nsid w:val="72B9CB96"/>
    <w:multiLevelType w:val="singleLevel"/>
    <w:tmpl w:val="72B9CB96"/>
    <w:lvl w:ilvl="0" w:tentative="0">
      <w:start w:val="1"/>
      <w:numFmt w:val="decimal"/>
      <w:suff w:val="nothing"/>
      <w:lvlText w:val="%1、"/>
      <w:lvlJc w:val="left"/>
      <w:rPr>
        <w:rFonts w:hint="default"/>
        <w:b/>
        <w:bCs/>
      </w:r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2878DE"/>
    <w:rsid w:val="0006541F"/>
    <w:rsid w:val="000F26F0"/>
    <w:rsid w:val="001325EE"/>
    <w:rsid w:val="0017484A"/>
    <w:rsid w:val="00193EB5"/>
    <w:rsid w:val="0030175E"/>
    <w:rsid w:val="00336A88"/>
    <w:rsid w:val="00444EF0"/>
    <w:rsid w:val="00455AD5"/>
    <w:rsid w:val="00564B58"/>
    <w:rsid w:val="00616BB6"/>
    <w:rsid w:val="006274EE"/>
    <w:rsid w:val="00654857"/>
    <w:rsid w:val="00662C3D"/>
    <w:rsid w:val="0067652D"/>
    <w:rsid w:val="00772BB3"/>
    <w:rsid w:val="007A6DB2"/>
    <w:rsid w:val="007B2B43"/>
    <w:rsid w:val="007C41A1"/>
    <w:rsid w:val="0091081C"/>
    <w:rsid w:val="009421E2"/>
    <w:rsid w:val="00A70C36"/>
    <w:rsid w:val="00AA75E6"/>
    <w:rsid w:val="00B17993"/>
    <w:rsid w:val="00B53108"/>
    <w:rsid w:val="00B61F95"/>
    <w:rsid w:val="00BA67CF"/>
    <w:rsid w:val="00C04A96"/>
    <w:rsid w:val="00C63F1F"/>
    <w:rsid w:val="00F2523E"/>
    <w:rsid w:val="00F46410"/>
    <w:rsid w:val="00F964CF"/>
    <w:rsid w:val="029375BA"/>
    <w:rsid w:val="02DE52B8"/>
    <w:rsid w:val="02DF3B95"/>
    <w:rsid w:val="031C3B8C"/>
    <w:rsid w:val="0338710E"/>
    <w:rsid w:val="037D75D1"/>
    <w:rsid w:val="03E63D17"/>
    <w:rsid w:val="0404182D"/>
    <w:rsid w:val="04D24C05"/>
    <w:rsid w:val="04DF6A30"/>
    <w:rsid w:val="05080E03"/>
    <w:rsid w:val="052120A3"/>
    <w:rsid w:val="05340E17"/>
    <w:rsid w:val="05F26067"/>
    <w:rsid w:val="07131D06"/>
    <w:rsid w:val="075E4757"/>
    <w:rsid w:val="079F34E1"/>
    <w:rsid w:val="07A85AD8"/>
    <w:rsid w:val="07B63FD3"/>
    <w:rsid w:val="088176E0"/>
    <w:rsid w:val="08A17E39"/>
    <w:rsid w:val="08C05696"/>
    <w:rsid w:val="08E26498"/>
    <w:rsid w:val="092811E1"/>
    <w:rsid w:val="092B2647"/>
    <w:rsid w:val="095106ED"/>
    <w:rsid w:val="095B6D91"/>
    <w:rsid w:val="09905702"/>
    <w:rsid w:val="09AE53A1"/>
    <w:rsid w:val="0A37295F"/>
    <w:rsid w:val="0A8A0FDF"/>
    <w:rsid w:val="0AA20510"/>
    <w:rsid w:val="0AA90C6A"/>
    <w:rsid w:val="0BA478AF"/>
    <w:rsid w:val="0BD76C00"/>
    <w:rsid w:val="0C0C6530"/>
    <w:rsid w:val="0C3337C2"/>
    <w:rsid w:val="0DE10D53"/>
    <w:rsid w:val="0DF9249F"/>
    <w:rsid w:val="0E1D5200"/>
    <w:rsid w:val="0E1E4BF1"/>
    <w:rsid w:val="0E656CAC"/>
    <w:rsid w:val="0E9C53FF"/>
    <w:rsid w:val="0E9F01DC"/>
    <w:rsid w:val="0EA7248B"/>
    <w:rsid w:val="0EE76194"/>
    <w:rsid w:val="0F826774"/>
    <w:rsid w:val="10831498"/>
    <w:rsid w:val="10D840BD"/>
    <w:rsid w:val="10DE73D7"/>
    <w:rsid w:val="11AD4EC5"/>
    <w:rsid w:val="12045701"/>
    <w:rsid w:val="12175113"/>
    <w:rsid w:val="12267774"/>
    <w:rsid w:val="12311985"/>
    <w:rsid w:val="12CE2D87"/>
    <w:rsid w:val="12EA4022"/>
    <w:rsid w:val="164C432F"/>
    <w:rsid w:val="165266C2"/>
    <w:rsid w:val="172778BE"/>
    <w:rsid w:val="178A7845"/>
    <w:rsid w:val="18244752"/>
    <w:rsid w:val="182D0790"/>
    <w:rsid w:val="18A44B56"/>
    <w:rsid w:val="18AC224C"/>
    <w:rsid w:val="18FA242A"/>
    <w:rsid w:val="192B6F95"/>
    <w:rsid w:val="19432FD6"/>
    <w:rsid w:val="19913759"/>
    <w:rsid w:val="19A645FC"/>
    <w:rsid w:val="1A1333D4"/>
    <w:rsid w:val="1A25740C"/>
    <w:rsid w:val="1BB919BF"/>
    <w:rsid w:val="1CA75FFD"/>
    <w:rsid w:val="1CB15A52"/>
    <w:rsid w:val="1CCA779A"/>
    <w:rsid w:val="1D000AD9"/>
    <w:rsid w:val="1D9938AE"/>
    <w:rsid w:val="1E154199"/>
    <w:rsid w:val="1E2914AA"/>
    <w:rsid w:val="1EC7580A"/>
    <w:rsid w:val="1F1E536B"/>
    <w:rsid w:val="1F5A76A9"/>
    <w:rsid w:val="1FCE1F8F"/>
    <w:rsid w:val="201005D6"/>
    <w:rsid w:val="208E2B89"/>
    <w:rsid w:val="21492299"/>
    <w:rsid w:val="21812F72"/>
    <w:rsid w:val="21F164BC"/>
    <w:rsid w:val="22176D2A"/>
    <w:rsid w:val="23386B1A"/>
    <w:rsid w:val="23422602"/>
    <w:rsid w:val="240F6817"/>
    <w:rsid w:val="2592212D"/>
    <w:rsid w:val="261824BF"/>
    <w:rsid w:val="262A0D2E"/>
    <w:rsid w:val="26CA4C34"/>
    <w:rsid w:val="27AA02D0"/>
    <w:rsid w:val="27AE32EC"/>
    <w:rsid w:val="28F0127C"/>
    <w:rsid w:val="28F42860"/>
    <w:rsid w:val="296F5733"/>
    <w:rsid w:val="29F14F71"/>
    <w:rsid w:val="2A220540"/>
    <w:rsid w:val="2B0515FA"/>
    <w:rsid w:val="2B09252C"/>
    <w:rsid w:val="2B742C1D"/>
    <w:rsid w:val="2B954BD5"/>
    <w:rsid w:val="2C264843"/>
    <w:rsid w:val="2C384F1D"/>
    <w:rsid w:val="2CBC29F4"/>
    <w:rsid w:val="2DBB09C9"/>
    <w:rsid w:val="2DF80AA9"/>
    <w:rsid w:val="2E052797"/>
    <w:rsid w:val="2E58012D"/>
    <w:rsid w:val="2EAB4C4C"/>
    <w:rsid w:val="2ECA28AE"/>
    <w:rsid w:val="2EFE7B24"/>
    <w:rsid w:val="2FAA71E5"/>
    <w:rsid w:val="2FBA0D76"/>
    <w:rsid w:val="2FC61B5C"/>
    <w:rsid w:val="2FE222E6"/>
    <w:rsid w:val="306858BB"/>
    <w:rsid w:val="308E12B8"/>
    <w:rsid w:val="309E74B0"/>
    <w:rsid w:val="3112318D"/>
    <w:rsid w:val="31E5293B"/>
    <w:rsid w:val="31EE7E95"/>
    <w:rsid w:val="32B70F17"/>
    <w:rsid w:val="32B81B3B"/>
    <w:rsid w:val="32BA439E"/>
    <w:rsid w:val="32EC12DF"/>
    <w:rsid w:val="33025FC1"/>
    <w:rsid w:val="3304027E"/>
    <w:rsid w:val="33183E52"/>
    <w:rsid w:val="33504D11"/>
    <w:rsid w:val="337223AD"/>
    <w:rsid w:val="348672AE"/>
    <w:rsid w:val="34AE29BE"/>
    <w:rsid w:val="35491872"/>
    <w:rsid w:val="35617CFD"/>
    <w:rsid w:val="36214B0F"/>
    <w:rsid w:val="364A7982"/>
    <w:rsid w:val="366D70B5"/>
    <w:rsid w:val="36781E29"/>
    <w:rsid w:val="36EF392C"/>
    <w:rsid w:val="37977FA0"/>
    <w:rsid w:val="380F3783"/>
    <w:rsid w:val="38B6676A"/>
    <w:rsid w:val="38EA7D63"/>
    <w:rsid w:val="3A1715C0"/>
    <w:rsid w:val="3B560F8F"/>
    <w:rsid w:val="3B5A0507"/>
    <w:rsid w:val="3CA20B74"/>
    <w:rsid w:val="3CA925F0"/>
    <w:rsid w:val="3CD34F90"/>
    <w:rsid w:val="3D4068C3"/>
    <w:rsid w:val="3D9457A1"/>
    <w:rsid w:val="3DDF987D"/>
    <w:rsid w:val="3E7D5526"/>
    <w:rsid w:val="3ED30F6A"/>
    <w:rsid w:val="3F5940DF"/>
    <w:rsid w:val="3F800C37"/>
    <w:rsid w:val="40150859"/>
    <w:rsid w:val="404B27FA"/>
    <w:rsid w:val="406A299A"/>
    <w:rsid w:val="41870F34"/>
    <w:rsid w:val="42E4371F"/>
    <w:rsid w:val="42E813D0"/>
    <w:rsid w:val="42EF5758"/>
    <w:rsid w:val="43074B0B"/>
    <w:rsid w:val="430A1D0C"/>
    <w:rsid w:val="434F02C6"/>
    <w:rsid w:val="439E5113"/>
    <w:rsid w:val="43D54DC2"/>
    <w:rsid w:val="4455206B"/>
    <w:rsid w:val="448D02B0"/>
    <w:rsid w:val="44DD4328"/>
    <w:rsid w:val="457B71C8"/>
    <w:rsid w:val="45A96731"/>
    <w:rsid w:val="45D33F41"/>
    <w:rsid w:val="45E77266"/>
    <w:rsid w:val="46672E81"/>
    <w:rsid w:val="46A10103"/>
    <w:rsid w:val="46B106BD"/>
    <w:rsid w:val="46B94E5C"/>
    <w:rsid w:val="46C044DD"/>
    <w:rsid w:val="48296892"/>
    <w:rsid w:val="489504FA"/>
    <w:rsid w:val="48CF41F8"/>
    <w:rsid w:val="49131556"/>
    <w:rsid w:val="49E10D6D"/>
    <w:rsid w:val="4A0C2B10"/>
    <w:rsid w:val="4ABB1DDA"/>
    <w:rsid w:val="4B9700A2"/>
    <w:rsid w:val="4C5F02B5"/>
    <w:rsid w:val="4D36513B"/>
    <w:rsid w:val="4D487103"/>
    <w:rsid w:val="4D9E5456"/>
    <w:rsid w:val="4E2E6A7C"/>
    <w:rsid w:val="4E97480F"/>
    <w:rsid w:val="4EEB5810"/>
    <w:rsid w:val="4F695317"/>
    <w:rsid w:val="4F74334A"/>
    <w:rsid w:val="4FD5108C"/>
    <w:rsid w:val="4FF60A9D"/>
    <w:rsid w:val="502878DE"/>
    <w:rsid w:val="50BE1E0D"/>
    <w:rsid w:val="50C011F0"/>
    <w:rsid w:val="51392792"/>
    <w:rsid w:val="51531D50"/>
    <w:rsid w:val="51AF2A4C"/>
    <w:rsid w:val="51C13478"/>
    <w:rsid w:val="521257F3"/>
    <w:rsid w:val="52233E4D"/>
    <w:rsid w:val="52757177"/>
    <w:rsid w:val="53116E5A"/>
    <w:rsid w:val="53140FB4"/>
    <w:rsid w:val="53304F19"/>
    <w:rsid w:val="53CD7D96"/>
    <w:rsid w:val="54AD78B3"/>
    <w:rsid w:val="54BD1FB8"/>
    <w:rsid w:val="556E2F2F"/>
    <w:rsid w:val="55FE048D"/>
    <w:rsid w:val="56476200"/>
    <w:rsid w:val="566A0AD2"/>
    <w:rsid w:val="567C2BF0"/>
    <w:rsid w:val="569805BD"/>
    <w:rsid w:val="56EB5F16"/>
    <w:rsid w:val="574D70D4"/>
    <w:rsid w:val="57B52264"/>
    <w:rsid w:val="58203118"/>
    <w:rsid w:val="588F2E26"/>
    <w:rsid w:val="58BC3548"/>
    <w:rsid w:val="58D453EF"/>
    <w:rsid w:val="58E245E6"/>
    <w:rsid w:val="595C31A7"/>
    <w:rsid w:val="59931BD8"/>
    <w:rsid w:val="59AD3FA5"/>
    <w:rsid w:val="59D765C7"/>
    <w:rsid w:val="59E40B48"/>
    <w:rsid w:val="59E63960"/>
    <w:rsid w:val="59EA1A0F"/>
    <w:rsid w:val="5A0762DD"/>
    <w:rsid w:val="5A857E5C"/>
    <w:rsid w:val="5A9C14D9"/>
    <w:rsid w:val="5AFD7CB2"/>
    <w:rsid w:val="5B0F2249"/>
    <w:rsid w:val="5BBB44EB"/>
    <w:rsid w:val="5C0F150A"/>
    <w:rsid w:val="5D4B4D00"/>
    <w:rsid w:val="5D685578"/>
    <w:rsid w:val="5E3849A6"/>
    <w:rsid w:val="5F967EFF"/>
    <w:rsid w:val="604A2016"/>
    <w:rsid w:val="608C49E3"/>
    <w:rsid w:val="60A27E20"/>
    <w:rsid w:val="614A5ADB"/>
    <w:rsid w:val="6153088A"/>
    <w:rsid w:val="619115F1"/>
    <w:rsid w:val="62112A0D"/>
    <w:rsid w:val="62297723"/>
    <w:rsid w:val="6276260C"/>
    <w:rsid w:val="63015B03"/>
    <w:rsid w:val="631E55F4"/>
    <w:rsid w:val="636F2DD7"/>
    <w:rsid w:val="63E91E7F"/>
    <w:rsid w:val="64D62CD5"/>
    <w:rsid w:val="6517549F"/>
    <w:rsid w:val="65285676"/>
    <w:rsid w:val="653313DD"/>
    <w:rsid w:val="654E5619"/>
    <w:rsid w:val="66515324"/>
    <w:rsid w:val="66B3205A"/>
    <w:rsid w:val="66C77BA3"/>
    <w:rsid w:val="66E643CB"/>
    <w:rsid w:val="676C313C"/>
    <w:rsid w:val="685846C7"/>
    <w:rsid w:val="68DF6265"/>
    <w:rsid w:val="692128B2"/>
    <w:rsid w:val="698F4510"/>
    <w:rsid w:val="69BD6ED0"/>
    <w:rsid w:val="6A860A94"/>
    <w:rsid w:val="6ABD1A45"/>
    <w:rsid w:val="6B1302BD"/>
    <w:rsid w:val="6B4B4726"/>
    <w:rsid w:val="6BFD07DB"/>
    <w:rsid w:val="6CEB2070"/>
    <w:rsid w:val="6E150B60"/>
    <w:rsid w:val="6F4A3D66"/>
    <w:rsid w:val="6F7B51B3"/>
    <w:rsid w:val="70A62E52"/>
    <w:rsid w:val="70B927BB"/>
    <w:rsid w:val="70C9765E"/>
    <w:rsid w:val="71280B48"/>
    <w:rsid w:val="71A205F9"/>
    <w:rsid w:val="7216797D"/>
    <w:rsid w:val="72181425"/>
    <w:rsid w:val="724346C0"/>
    <w:rsid w:val="72862EA8"/>
    <w:rsid w:val="72C157AF"/>
    <w:rsid w:val="734513FB"/>
    <w:rsid w:val="738A3132"/>
    <w:rsid w:val="73F80ADC"/>
    <w:rsid w:val="747E0A49"/>
    <w:rsid w:val="74BC4225"/>
    <w:rsid w:val="74C91ED6"/>
    <w:rsid w:val="74DF0B98"/>
    <w:rsid w:val="75BD4159"/>
    <w:rsid w:val="75FE3C2A"/>
    <w:rsid w:val="762A3995"/>
    <w:rsid w:val="770E09B9"/>
    <w:rsid w:val="77FA3E94"/>
    <w:rsid w:val="781B3F55"/>
    <w:rsid w:val="78467118"/>
    <w:rsid w:val="784F56CD"/>
    <w:rsid w:val="786071A2"/>
    <w:rsid w:val="787357B0"/>
    <w:rsid w:val="788109D2"/>
    <w:rsid w:val="78E22781"/>
    <w:rsid w:val="78F519FB"/>
    <w:rsid w:val="79280F62"/>
    <w:rsid w:val="79644239"/>
    <w:rsid w:val="7A1724CD"/>
    <w:rsid w:val="7A78182D"/>
    <w:rsid w:val="7A8D783B"/>
    <w:rsid w:val="7B1B7C06"/>
    <w:rsid w:val="7B724992"/>
    <w:rsid w:val="7C747604"/>
    <w:rsid w:val="7CBC52DC"/>
    <w:rsid w:val="7D925733"/>
    <w:rsid w:val="7DCD03FA"/>
    <w:rsid w:val="7E152884"/>
    <w:rsid w:val="7E481147"/>
    <w:rsid w:val="7E670C0A"/>
    <w:rsid w:val="7E8B04C1"/>
    <w:rsid w:val="7EB739CF"/>
    <w:rsid w:val="7ECB49F4"/>
    <w:rsid w:val="7ED11942"/>
    <w:rsid w:val="7EE319B5"/>
    <w:rsid w:val="7F4A7D08"/>
    <w:rsid w:val="7FEE2E5D"/>
    <w:rsid w:val="EB54E2B6"/>
    <w:rsid w:val="F7EF6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page number"/>
    <w:basedOn w:val="6"/>
    <w:unhideWhenUsed/>
    <w:qFormat/>
    <w:uiPriority w:val="99"/>
    <w:rPr>
      <w:rFonts w:eastAsia="宋体"/>
      <w:sz w:val="21"/>
    </w:rPr>
  </w:style>
  <w:style w:type="paragraph" w:styleId="9">
    <w:name w:val="List Paragraph"/>
    <w:basedOn w:val="1"/>
    <w:qFormat/>
    <w:uiPriority w:val="34"/>
    <w:pPr>
      <w:ind w:firstLine="420" w:firstLineChars="200"/>
    </w:pPr>
  </w:style>
  <w:style w:type="character" w:customStyle="1" w:styleId="10">
    <w:name w:val="页眉 Char"/>
    <w:basedOn w:val="6"/>
    <w:link w:val="3"/>
    <w:qFormat/>
    <w:uiPriority w:val="0"/>
    <w:rPr>
      <w:rFonts w:asciiTheme="minorHAnsi" w:hAnsiTheme="minorHAnsi" w:eastAsiaTheme="minorEastAsia" w:cstheme="minorBidi"/>
      <w:kern w:val="2"/>
      <w:sz w:val="18"/>
      <w:szCs w:val="18"/>
    </w:rPr>
  </w:style>
  <w:style w:type="character" w:customStyle="1" w:styleId="11">
    <w:name w:val="页脚 Char"/>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45</Pages>
  <Words>3401</Words>
  <Characters>19391</Characters>
  <Lines>161</Lines>
  <Paragraphs>45</Paragraphs>
  <TotalTime>8</TotalTime>
  <ScaleCrop>false</ScaleCrop>
  <LinksUpToDate>false</LinksUpToDate>
  <CharactersWithSpaces>22747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2021-07-28T01:02:00Z</dcterms:created>
  <dc:creator>刘庆祝</dc:creator>
  <cp:lastModifiedBy>lenovo</cp:lastModifiedBy>
  <dcterms:modified xsi:type="dcterms:W3CDTF">2024-05-24T11:59:11Z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2AF2C77F13414BAE9B83D0F88C89BDF1</vt:lpwstr>
  </property>
</Properties>
</file>