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6"/>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lang w:eastAsia="zh-CN"/>
        </w:rPr>
      </w:pPr>
      <w:r>
        <w:rPr>
          <w:rFonts w:ascii="方正小标宋_GBK" w:hAnsi="方正小标宋_GBK" w:eastAsia="方正小标宋_GBK" w:cs="方正小标宋_GBK"/>
          <w:b w:val="0"/>
          <w:bCs w:val="0"/>
          <w:sz w:val="44"/>
          <w:szCs w:val="44"/>
        </w:rPr>
        <w:t>重庆市梁平区石安镇</w:t>
      </w:r>
      <w:r>
        <w:rPr>
          <w:rFonts w:hint="eastAsia" w:ascii="方正小标宋_GBK" w:hAnsi="方正小标宋_GBK" w:eastAsia="方正小标宋_GBK" w:cs="方正小标宋_GBK"/>
          <w:b w:val="0"/>
          <w:bCs w:val="0"/>
          <w:sz w:val="44"/>
          <w:szCs w:val="44"/>
          <w:lang w:eastAsia="zh-CN"/>
        </w:rPr>
        <w:t>便民服务中心</w:t>
      </w:r>
      <w:bookmarkStart w:id="0" w:name="_GoBack"/>
      <w:bookmarkEnd w:id="0"/>
    </w:p>
    <w:p>
      <w:pPr>
        <w:pStyle w:val="6"/>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9"/>
          <w:rFonts w:hint="default" w:ascii="黑体" w:hAnsi="黑体" w:eastAsia="黑体" w:cs="黑体"/>
          <w:sz w:val="32"/>
          <w:szCs w:val="32"/>
          <w:shd w:val="clear" w:color="auto" w:fill="FFFFFF"/>
        </w:rPr>
      </w:pPr>
      <w:r>
        <w:rPr>
          <w:rStyle w:val="9"/>
          <w:rFonts w:ascii="黑体" w:hAnsi="黑体" w:eastAsia="黑体" w:cs="黑体"/>
          <w:sz w:val="32"/>
          <w:szCs w:val="32"/>
          <w:shd w:val="clear" w:color="auto" w:fill="FFFFFF"/>
        </w:rPr>
        <w:t>一、部门基本情况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方正仿宋_GBK" w:hAnsi="方正仿宋_GBK" w:eastAsia="方正仿宋_GBK" w:cs="方正仿宋_GBK"/>
          <w:sz w:val="32"/>
          <w:szCs w:val="32"/>
        </w:rPr>
      </w:pPr>
      <w:r>
        <w:rPr>
          <w:rStyle w:val="9"/>
          <w:rFonts w:ascii="楷体" w:hAnsi="楷体" w:eastAsia="楷体" w:cs="楷体"/>
          <w:sz w:val="32"/>
          <w:szCs w:val="32"/>
          <w:shd w:val="clear" w:color="auto" w:fill="FFFFFF"/>
        </w:rPr>
        <w:t>（一）职能职责</w:t>
      </w:r>
    </w:p>
    <w:p>
      <w:pPr>
        <w:pStyle w:val="2"/>
        <w:spacing w:before="150" w:line="313" w:lineRule="auto"/>
        <w:ind w:left="25" w:firstLine="649"/>
        <w:rPr>
          <w:rFonts w:hint="default" w:ascii="Times New Roman" w:hAnsi="Times New Roman" w:eastAsia="方正仿宋_GBK" w:cs="Times New Roman"/>
        </w:rPr>
      </w:pPr>
      <w:r>
        <w:rPr>
          <w:rFonts w:hint="default" w:ascii="Times New Roman" w:hAnsi="Times New Roman" w:eastAsia="方正仿宋_GBK" w:cs="Times New Roman"/>
          <w:spacing w:val="8"/>
        </w:rPr>
        <w:t>承担辖区内失业人员就业培训、职业介绍、就业创业指</w:t>
      </w:r>
      <w:r>
        <w:rPr>
          <w:rFonts w:hint="default" w:ascii="Times New Roman" w:hAnsi="Times New Roman" w:eastAsia="方正仿宋_GBK" w:cs="Times New Roman"/>
          <w:spacing w:val="9"/>
        </w:rPr>
        <w:t>导、就业再就业小额贷款推荐审核等管理服务工作；养老保险、失业保险、城乡居民医疗保险等社会保险服务工作；负责下岗失业人员的职业指导、就业培训、职业介绍、岗位开</w:t>
      </w:r>
      <w:r>
        <w:rPr>
          <w:rFonts w:hint="default" w:ascii="Times New Roman" w:hAnsi="Times New Roman" w:eastAsia="方正仿宋_GBK" w:cs="Times New Roman"/>
          <w:spacing w:val="7"/>
        </w:rPr>
        <w:t>发、就业再就业小额贷款推荐审核等就业服务工作；</w:t>
      </w:r>
      <w:r>
        <w:rPr>
          <w:rFonts w:hint="default" w:ascii="Times New Roman" w:hAnsi="Times New Roman" w:eastAsia="方正仿宋_GBK" w:cs="Times New Roman"/>
          <w:spacing w:val="-82"/>
        </w:rPr>
        <w:t xml:space="preserve"> </w:t>
      </w:r>
      <w:r>
        <w:rPr>
          <w:rFonts w:hint="default" w:ascii="Times New Roman" w:hAnsi="Times New Roman" w:eastAsia="方正仿宋_GBK" w:cs="Times New Roman"/>
          <w:spacing w:val="7"/>
        </w:rPr>
        <w:t>负</w:t>
      </w:r>
      <w:r>
        <w:rPr>
          <w:rFonts w:hint="default" w:ascii="Times New Roman" w:hAnsi="Times New Roman" w:eastAsia="方正仿宋_GBK" w:cs="Times New Roman"/>
          <w:spacing w:val="6"/>
        </w:rPr>
        <w:t>责养</w:t>
      </w:r>
      <w:r>
        <w:rPr>
          <w:rFonts w:hint="default" w:ascii="Times New Roman" w:hAnsi="Times New Roman" w:eastAsia="方正仿宋_GBK" w:cs="Times New Roman"/>
          <w:spacing w:val="1"/>
        </w:rPr>
        <w:t>老保险、失业保险、城乡居民医疗保险等社会保险服务工作；</w:t>
      </w:r>
      <w:r>
        <w:rPr>
          <w:rFonts w:hint="default" w:ascii="Times New Roman" w:hAnsi="Times New Roman" w:eastAsia="方正仿宋_GBK" w:cs="Times New Roman"/>
          <w:spacing w:val="3"/>
        </w:rPr>
        <w:t xml:space="preserve"> </w:t>
      </w:r>
      <w:r>
        <w:rPr>
          <w:rFonts w:hint="default" w:ascii="Times New Roman" w:hAnsi="Times New Roman" w:eastAsia="方正仿宋_GBK" w:cs="Times New Roman"/>
          <w:spacing w:val="9"/>
        </w:rPr>
        <w:t>负责企业退休人员、工伤人员等社会化服务工作；负责辖区</w:t>
      </w:r>
      <w:r>
        <w:rPr>
          <w:rFonts w:hint="default" w:ascii="Times New Roman" w:hAnsi="Times New Roman" w:eastAsia="方正仿宋_GBK" w:cs="Times New Roman"/>
          <w:spacing w:val="6"/>
        </w:rPr>
        <w:t>内农村富余劳动力及外来务工人员的就业管理服务工作；</w:t>
      </w:r>
      <w:r>
        <w:rPr>
          <w:rFonts w:hint="default" w:ascii="Times New Roman" w:hAnsi="Times New Roman" w:eastAsia="方正仿宋_GBK" w:cs="Times New Roman"/>
          <w:spacing w:val="-58"/>
        </w:rPr>
        <w:t xml:space="preserve"> </w:t>
      </w:r>
      <w:r>
        <w:rPr>
          <w:rFonts w:hint="default" w:ascii="Times New Roman" w:hAnsi="Times New Roman" w:eastAsia="方正仿宋_GBK" w:cs="Times New Roman"/>
          <w:spacing w:val="6"/>
        </w:rPr>
        <w:t>负</w:t>
      </w:r>
      <w:r>
        <w:rPr>
          <w:rFonts w:hint="default" w:ascii="Times New Roman" w:hAnsi="Times New Roman" w:eastAsia="方正仿宋_GBK" w:cs="Times New Roman"/>
          <w:spacing w:val="9"/>
        </w:rPr>
        <w:t>责辖区内劳动保障咨询、调解和维权工作；负责劳动和社会保障事务代理，为群众提供“一站式”服务；负责报表的统</w:t>
      </w:r>
      <w:r>
        <w:rPr>
          <w:rFonts w:hint="default" w:ascii="Times New Roman" w:hAnsi="Times New Roman" w:eastAsia="方正仿宋_GBK" w:cs="Times New Roman"/>
          <w:spacing w:val="4"/>
        </w:rPr>
        <w:t>计、分析和上报工作。</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（二）机构设置</w:t>
      </w:r>
    </w:p>
    <w:p>
      <w:pPr>
        <w:pStyle w:val="2"/>
        <w:spacing w:before="143" w:line="309" w:lineRule="auto"/>
        <w:ind w:left="30" w:right="12" w:firstLine="650"/>
        <w:rPr>
          <w:rFonts w:hint="default" w:ascii="Times New Roman" w:hAnsi="Times New Roman" w:eastAsia="方正仿宋_GBK" w:cs="Times New Roman"/>
        </w:rPr>
      </w:pPr>
      <w:r>
        <w:rPr>
          <w:rFonts w:hint="default" w:ascii="Times New Roman" w:hAnsi="Times New Roman" w:eastAsia="方正仿宋_GBK" w:cs="Times New Roman"/>
          <w:spacing w:val="8"/>
        </w:rPr>
        <w:t>我单位隶属重庆市梁平区</w:t>
      </w:r>
      <w:r>
        <w:rPr>
          <w:rFonts w:hint="default" w:ascii="Times New Roman" w:hAnsi="Times New Roman" w:eastAsia="方正仿宋_GBK" w:cs="Times New Roman"/>
          <w:spacing w:val="8"/>
          <w:lang w:eastAsia="zh-CN"/>
        </w:rPr>
        <w:t>石安</w:t>
      </w:r>
      <w:r>
        <w:rPr>
          <w:rFonts w:hint="default" w:ascii="Times New Roman" w:hAnsi="Times New Roman" w:eastAsia="方正仿宋_GBK" w:cs="Times New Roman"/>
          <w:spacing w:val="8"/>
        </w:rPr>
        <w:t xml:space="preserve">镇人民政府，是公益一类 </w:t>
      </w:r>
      <w:r>
        <w:rPr>
          <w:rFonts w:hint="default" w:ascii="Times New Roman" w:hAnsi="Times New Roman" w:eastAsia="方正仿宋_GBK" w:cs="Times New Roman"/>
          <w:spacing w:val="-5"/>
        </w:rPr>
        <w:t>事业单位，截至</w:t>
      </w:r>
      <w:r>
        <w:rPr>
          <w:rFonts w:hint="default" w:ascii="Times New Roman" w:hAnsi="Times New Roman" w:eastAsia="方正仿宋_GBK" w:cs="Times New Roman"/>
          <w:spacing w:val="-44"/>
        </w:rPr>
        <w:t xml:space="preserve"> </w:t>
      </w:r>
      <w:r>
        <w:rPr>
          <w:rFonts w:hint="default" w:ascii="Times New Roman" w:hAnsi="Times New Roman" w:eastAsia="方正仿宋_GBK" w:cs="Times New Roman"/>
          <w:spacing w:val="-5"/>
        </w:rPr>
        <w:t>202</w:t>
      </w:r>
      <w:r>
        <w:rPr>
          <w:rFonts w:hint="default" w:ascii="Times New Roman" w:hAnsi="Times New Roman" w:eastAsia="方正仿宋_GBK" w:cs="Times New Roman"/>
          <w:spacing w:val="-5"/>
          <w:lang w:val="en-US" w:eastAsia="zh-CN"/>
        </w:rPr>
        <w:t>4</w:t>
      </w:r>
      <w:r>
        <w:rPr>
          <w:rFonts w:hint="default" w:ascii="Times New Roman" w:hAnsi="Times New Roman" w:eastAsia="方正仿宋_GBK" w:cs="Times New Roman"/>
          <w:spacing w:val="-40"/>
        </w:rPr>
        <w:t xml:space="preserve"> </w:t>
      </w:r>
      <w:r>
        <w:rPr>
          <w:rFonts w:hint="default" w:ascii="Times New Roman" w:hAnsi="Times New Roman" w:eastAsia="方正仿宋_GBK" w:cs="Times New Roman"/>
          <w:spacing w:val="-5"/>
        </w:rPr>
        <w:t>年</w:t>
      </w:r>
      <w:r>
        <w:rPr>
          <w:rFonts w:hint="default" w:ascii="Times New Roman" w:hAnsi="Times New Roman" w:eastAsia="方正仿宋_GBK" w:cs="Times New Roman"/>
          <w:spacing w:val="-44"/>
        </w:rPr>
        <w:t xml:space="preserve"> </w:t>
      </w:r>
      <w:r>
        <w:rPr>
          <w:rFonts w:hint="default" w:ascii="Times New Roman" w:hAnsi="Times New Roman" w:eastAsia="方正仿宋_GBK" w:cs="Times New Roman"/>
          <w:spacing w:val="-5"/>
        </w:rPr>
        <w:t>12</w:t>
      </w:r>
      <w:r>
        <w:rPr>
          <w:rFonts w:hint="default" w:ascii="Times New Roman" w:hAnsi="Times New Roman" w:eastAsia="方正仿宋_GBK" w:cs="Times New Roman"/>
          <w:spacing w:val="-28"/>
        </w:rPr>
        <w:t xml:space="preserve"> </w:t>
      </w:r>
      <w:r>
        <w:rPr>
          <w:rFonts w:hint="default" w:ascii="Times New Roman" w:hAnsi="Times New Roman" w:eastAsia="方正仿宋_GBK" w:cs="Times New Roman"/>
          <w:spacing w:val="-5"/>
        </w:rPr>
        <w:t>月</w:t>
      </w:r>
      <w:r>
        <w:rPr>
          <w:rFonts w:hint="default" w:ascii="Times New Roman" w:hAnsi="Times New Roman" w:eastAsia="方正仿宋_GBK" w:cs="Times New Roman"/>
          <w:spacing w:val="-48"/>
        </w:rPr>
        <w:t xml:space="preserve"> </w:t>
      </w:r>
      <w:r>
        <w:rPr>
          <w:rFonts w:hint="default" w:ascii="Times New Roman" w:hAnsi="Times New Roman" w:eastAsia="方正仿宋_GBK" w:cs="Times New Roman"/>
          <w:spacing w:val="-5"/>
        </w:rPr>
        <w:t>31日，我单位编制人数</w:t>
      </w:r>
      <w:r>
        <w:rPr>
          <w:rFonts w:hint="default" w:ascii="Times New Roman" w:hAnsi="Times New Roman" w:eastAsia="方正仿宋_GBK" w:cs="Times New Roman"/>
          <w:spacing w:val="-47"/>
        </w:rPr>
        <w:t xml:space="preserve"> </w:t>
      </w:r>
      <w:r>
        <w:rPr>
          <w:rFonts w:hint="default" w:ascii="Times New Roman" w:hAnsi="Times New Roman" w:eastAsia="方正仿宋_GBK" w:cs="Times New Roman"/>
          <w:spacing w:val="-5"/>
        </w:rPr>
        <w:t>3</w:t>
      </w:r>
      <w:r>
        <w:rPr>
          <w:rFonts w:hint="default" w:ascii="Times New Roman" w:hAnsi="Times New Roman" w:eastAsia="方正仿宋_GBK" w:cs="Times New Roman"/>
          <w:spacing w:val="-38"/>
        </w:rPr>
        <w:t xml:space="preserve"> </w:t>
      </w:r>
      <w:r>
        <w:rPr>
          <w:rFonts w:hint="default" w:ascii="Times New Roman" w:hAnsi="Times New Roman" w:eastAsia="方正仿宋_GBK" w:cs="Times New Roman"/>
          <w:spacing w:val="-5"/>
        </w:rPr>
        <w:t>人，</w:t>
      </w:r>
      <w:r>
        <w:rPr>
          <w:rFonts w:hint="default" w:ascii="Times New Roman" w:hAnsi="Times New Roman" w:eastAsia="方正仿宋_GBK" w:cs="Times New Roman"/>
        </w:rPr>
        <w:t xml:space="preserve"> </w:t>
      </w:r>
      <w:r>
        <w:rPr>
          <w:rFonts w:hint="default" w:ascii="Times New Roman" w:hAnsi="Times New Roman" w:eastAsia="方正仿宋_GBK" w:cs="Times New Roman"/>
          <w:spacing w:val="4"/>
        </w:rPr>
        <w:t>年末实有在编在岗人数</w:t>
      </w:r>
      <w:r>
        <w:rPr>
          <w:rFonts w:hint="default" w:ascii="Times New Roman" w:hAnsi="Times New Roman" w:eastAsia="方正仿宋_GBK" w:cs="Times New Roman"/>
          <w:spacing w:val="-46"/>
        </w:rPr>
        <w:t xml:space="preserve"> </w:t>
      </w:r>
      <w:r>
        <w:rPr>
          <w:rFonts w:hint="default" w:ascii="Times New Roman" w:hAnsi="Times New Roman" w:eastAsia="方正仿宋_GBK" w:cs="Times New Roman"/>
          <w:spacing w:val="4"/>
          <w:lang w:val="en-US" w:eastAsia="zh-CN"/>
        </w:rPr>
        <w:t>2</w:t>
      </w:r>
      <w:r>
        <w:rPr>
          <w:rFonts w:hint="default" w:ascii="Times New Roman" w:hAnsi="Times New Roman" w:eastAsia="方正仿宋_GBK" w:cs="Times New Roman"/>
          <w:spacing w:val="4"/>
        </w:rPr>
        <w:t>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9"/>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二、部门决算</w:t>
      </w:r>
      <w:r>
        <w:rPr>
          <w:rStyle w:val="9"/>
          <w:rFonts w:hint="default" w:ascii="Times New Roman" w:hAnsi="Times New Roman" w:eastAsia="方正仿宋_GBK" w:cs="Times New Roman"/>
          <w:sz w:val="32"/>
          <w:szCs w:val="32"/>
          <w:shd w:val="clear" w:color="auto" w:fill="FFFFFF"/>
          <w:lang w:eastAsia="zh-CN"/>
        </w:rPr>
        <w:t>收支</w:t>
      </w:r>
      <w:r>
        <w:rPr>
          <w:rStyle w:val="9"/>
          <w:rFonts w:hint="default" w:ascii="Times New Roman" w:hAnsi="Times New Roman" w:eastAsia="方正仿宋_GBK" w:cs="Times New Roman"/>
          <w:sz w:val="32"/>
          <w:szCs w:val="32"/>
          <w:shd w:val="clear" w:color="auto" w:fill="FFFFFF"/>
        </w:rPr>
        <w:t>情况说明</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59.49万元。收、支与2023年度相比，增加13.40万元，增长29.1%，主要原因是2024年1月区外调入1名职工，9月退休1名职工；在编事业单位五险政策变化，超额绩效纳入缴费基数</w:t>
      </w:r>
      <w:r>
        <w:rPr>
          <w:rFonts w:hint="default" w:ascii="Times New Roman" w:hAnsi="Times New Roman" w:eastAsia="方正仿宋_GBK" w:cs="Times New Roman"/>
          <w:sz w:val="32"/>
          <w:szCs w:val="32"/>
          <w:shd w:val="clear" w:color="auto" w:fill="FFFFFF"/>
          <w:lang w:val="en-US" w:eastAsia="zh-CN"/>
        </w:rPr>
        <w:t>。</w:t>
      </w:r>
    </w:p>
    <w:p>
      <w:pPr>
        <w:pStyle w:val="6"/>
        <w:shd w:val="clear" w:color="auto" w:fill="FFFFFF"/>
        <w:spacing w:before="0" w:beforeAutospacing="0" w:after="0" w:afterAutospacing="0" w:line="596" w:lineRule="exact"/>
        <w:ind w:firstLine="642" w:firstLineChars="200"/>
        <w:jc w:val="both"/>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lang w:val="en-US" w:eastAsia="zh-CN"/>
        </w:rPr>
        <w:t>1</w:t>
      </w:r>
      <w:r>
        <w:rPr>
          <w:rStyle w:val="9"/>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2024年度收入合计59.49万元，与2023年度相比，增加13.40万元，增长29.1%，主要原因是2024年1月区外调入1名职工，9月退休1名职工；在编事业单位五险政策变化，超额绩效纳入缴费基数</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其中：财政拨款收入59.49万元，占100.0%；事业收入0.00万元，占0.0%；经营收入0.00万元，占0.0%；其他收入0.00万元，占0.0%。此外，使用非财政拨款结余（含专用结余）0.00万元，年初结转和结余0.00万元。</w:t>
      </w:r>
    </w:p>
    <w:p>
      <w:pPr>
        <w:pStyle w:val="6"/>
        <w:snapToGrid w:val="0"/>
        <w:spacing w:before="0" w:beforeAutospacing="0" w:after="0" w:afterAutospacing="0" w:line="596" w:lineRule="exact"/>
        <w:ind w:firstLine="642" w:firstLineChars="200"/>
        <w:jc w:val="both"/>
        <w:rPr>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lang w:val="en-US" w:eastAsia="zh-CN"/>
        </w:rPr>
        <w:t>2</w:t>
      </w:r>
      <w:r>
        <w:rPr>
          <w:rStyle w:val="9"/>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2024年度支出合计59.49万元，与2023年度相比，增加13.40万元，增长29.1%，主要原因是2024年1月区外调入1名职工，9月退休1名职工；在编事业单位五险政策变化，超额绩效纳入缴费基数</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其中：基本支出59.49万元，占100.0%；项目支出0.00万元，占0.0%；经营支出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pPr>
        <w:pStyle w:val="6"/>
        <w:snapToGrid w:val="0"/>
        <w:spacing w:before="0" w:beforeAutospacing="0" w:after="0" w:afterAutospacing="0" w:line="596" w:lineRule="exact"/>
        <w:ind w:firstLine="642" w:firstLineChars="200"/>
        <w:jc w:val="both"/>
        <w:rPr>
          <w:rFonts w:hint="default" w:ascii="Times New Roman" w:hAnsi="Times New Roman" w:eastAsia="方正仿宋_GBK" w:cs="Times New Roman"/>
          <w:sz w:val="32"/>
          <w:szCs w:val="32"/>
          <w:lang w:eastAsia="zh-CN"/>
        </w:rPr>
      </w:pPr>
      <w:r>
        <w:rPr>
          <w:rStyle w:val="9"/>
          <w:rFonts w:hint="default" w:ascii="Times New Roman" w:hAnsi="Times New Roman" w:eastAsia="方正仿宋_GBK" w:cs="Times New Roman"/>
          <w:sz w:val="32"/>
          <w:szCs w:val="32"/>
          <w:shd w:val="clear" w:color="auto" w:fill="FFFFFF"/>
          <w:lang w:val="en-US" w:eastAsia="zh-CN"/>
        </w:rPr>
        <w:t>3</w:t>
      </w:r>
      <w:r>
        <w:rPr>
          <w:rStyle w:val="9"/>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2024年度年末结转和结余0.00万元，与2023年度相比，无增减</w:t>
      </w:r>
      <w:r>
        <w:rPr>
          <w:rFonts w:hint="default" w:ascii="Times New Roman" w:hAnsi="Times New Roman" w:eastAsia="方正仿宋_GBK" w:cs="Times New Roman"/>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2024年度财政拨款收、支总计均为59.49万元。与2023年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相比，财政拨款收、支总计各增加13.40万元，增长29.1%。主要原因是2024年1月区外调入1名职工，9月退休1名职工；在编事业单位五险政策变化，超额绩效纳入缴费基数</w:t>
      </w:r>
      <w:r>
        <w:rPr>
          <w:rFonts w:hint="default" w:ascii="Times New Roman" w:hAnsi="Times New Roman" w:eastAsia="方正仿宋_GBK" w:cs="Times New Roman"/>
          <w:sz w:val="32"/>
          <w:szCs w:val="32"/>
          <w:shd w:val="clear" w:color="auto" w:fill="FFFFFF"/>
          <w:lang w:val="en-US"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2" w:firstLineChars="200"/>
        <w:jc w:val="both"/>
        <w:rPr>
          <w:rFonts w:hint="default" w:ascii="Times New Roman" w:hAnsi="Times New Roman" w:eastAsia="方正仿宋_GBK" w:cs="Times New Roman"/>
          <w:sz w:val="32"/>
          <w:szCs w:val="32"/>
        </w:rPr>
      </w:pPr>
      <w:r>
        <w:rPr>
          <w:rStyle w:val="9"/>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2024年度一般公共预算财政拨款收入59.49万元，与2023年度相比，增加13.40万元，增长29.1%。主要原因是2024年1月区外调入1名职工，9月退休1名职工；在编事业单位五险政策变化，超额绩效纳入缴费基数</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较年初预算数增加17.12万元，增长40.4%。主要原因是2024年1月区外调入1名职工，9月退休1名职工；在编事业单位五险政策变化，超额绩效纳入缴费基数</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此外，年初财政拨款结转和结余0.00万元。</w:t>
      </w:r>
    </w:p>
    <w:p>
      <w:pPr>
        <w:pStyle w:val="6"/>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FF0000"/>
          <w:sz w:val="32"/>
          <w:szCs w:val="32"/>
          <w:shd w:val="clear" w:color="auto" w:fill="FFFFFF"/>
        </w:rPr>
      </w:pPr>
      <w:r>
        <w:rPr>
          <w:rStyle w:val="9"/>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2024年度一般公共预算财政拨款支出59.49万元，与2023年度相比，增加13.40万元，增长29.1%。主要原因是2024年1月区外调入1名职工，9月退休1名职工；在编事业单位五险政策变化，超额绩效纳入缴费基数</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较年初预算数增加17.12万元，增长40.4%。主要原因是2024年1月区外调入1名职工，9月退休1名职工；在编事业单位五险政策变化，超额绩效纳入缴费基数</w:t>
      </w:r>
      <w:r>
        <w:rPr>
          <w:rFonts w:hint="default" w:ascii="Times New Roman" w:hAnsi="Times New Roman" w:eastAsia="方正仿宋_GBK" w:cs="Times New Roman"/>
          <w:sz w:val="32"/>
          <w:szCs w:val="32"/>
          <w:shd w:val="clear" w:color="auto" w:fill="FFFFFF"/>
          <w:lang w:val="en-US" w:eastAsia="zh-CN"/>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就业支出54.40万元，占91.4%，较年初预算数增加16.01万元，增长41.7%，主要原因是2024年1月区外调入1名职工，9月退休1名职工；在编事业单位五险政策变化，超额绩效纳入缴费基数</w:t>
      </w:r>
      <w:r>
        <w:rPr>
          <w:rFonts w:hint="default" w:ascii="Times New Roman" w:hAnsi="Times New Roman" w:eastAsia="方正仿宋_GBK" w:cs="Times New Roman"/>
          <w:sz w:val="32"/>
          <w:szCs w:val="32"/>
          <w:shd w:val="clear" w:color="auto" w:fill="FFFFFF"/>
          <w:lang w:val="en-US" w:eastAsia="zh-CN"/>
        </w:rPr>
        <w:t>。</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）卫生健康支出2.29万元，占3.9%，较年初预算数增加0.35万元，增长18.0%，主要原因是2024年1月区外调入1名职工，9月退休1名职工；在编事业单位五险政策变化，超额绩效纳入缴费基数</w:t>
      </w:r>
      <w:r>
        <w:rPr>
          <w:rFonts w:hint="default" w:ascii="Times New Roman" w:hAnsi="Times New Roman" w:eastAsia="方正仿宋_GBK" w:cs="Times New Roman"/>
          <w:sz w:val="32"/>
          <w:szCs w:val="32"/>
          <w:shd w:val="clear" w:color="auto" w:fill="FFFFFF"/>
          <w:lang w:val="en-US" w:eastAsia="zh-CN"/>
        </w:rPr>
        <w:t>。</w:t>
      </w:r>
    </w:p>
    <w:p>
      <w:pPr>
        <w:spacing w:line="596"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2.80万元，占4.7%，较年初预算数增加0.76万元，增长37.3%，主要原因是2024年1月区外调入1名职工，9月退休1名职工；在编事业单位五险政策变化，超额绩效纳入缴费基数</w:t>
      </w:r>
      <w:r>
        <w:rPr>
          <w:rFonts w:hint="default" w:ascii="Times New Roman" w:hAnsi="Times New Roman" w:eastAsia="方正仿宋_GBK" w:cs="Times New Roman"/>
          <w:sz w:val="32"/>
          <w:szCs w:val="32"/>
          <w:shd w:val="clear" w:color="auto" w:fill="FFFFFF"/>
          <w:lang w:val="en-US" w:eastAsia="zh-CN"/>
        </w:rPr>
        <w:t>。</w:t>
      </w:r>
    </w:p>
    <w:p>
      <w:pPr>
        <w:pStyle w:val="6"/>
        <w:snapToGrid w:val="0"/>
        <w:spacing w:before="0" w:beforeAutospacing="0" w:after="0" w:afterAutospacing="0" w:line="596" w:lineRule="exact"/>
        <w:ind w:firstLine="642" w:firstLineChars="200"/>
        <w:jc w:val="both"/>
        <w:rPr>
          <w:rFonts w:hint="default" w:ascii="Times New Roman" w:hAnsi="Times New Roman" w:eastAsia="方正仿宋_GBK" w:cs="Times New Roman"/>
          <w:color w:val="FF0000"/>
          <w:sz w:val="32"/>
          <w:szCs w:val="32"/>
          <w:shd w:val="clear" w:color="auto" w:fill="FFFFFF"/>
          <w:lang w:eastAsia="zh-CN"/>
        </w:rPr>
      </w:pPr>
      <w:r>
        <w:rPr>
          <w:rStyle w:val="9"/>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sz w:val="32"/>
          <w:szCs w:val="32"/>
          <w:shd w:val="clear" w:color="auto" w:fill="FFFFFF"/>
          <w:lang w:eastAsia="zh-CN"/>
        </w:rPr>
        <w:t>。</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2024年度一般公共财政拨款基本支出59.49万元。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FF0000"/>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人员经费55.03万元，与2023年度相比，增加12.70万元，增长30.0%，主要原因是2024年1月区外调入1名职工，9月退休1名职工；在编事业单位五险政策变化，超额绩效纳入缴费基数</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人员经费用途主要包括</w:t>
      </w:r>
      <w:r>
        <w:rPr>
          <w:rFonts w:hint="default" w:ascii="Times New Roman" w:hAnsi="Times New Roman" w:eastAsia="方正仿宋_GBK" w:cs="Times New Roman"/>
          <w:sz w:val="32"/>
          <w:szCs w:val="32"/>
          <w:shd w:val="clear" w:color="auto" w:fill="FFFFFF"/>
          <w:lang w:eastAsia="zh-CN"/>
        </w:rPr>
        <w:t>工资福利待遇和五险一金缴费。</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公用经费4.46万元，与2023年度相比，增加0.70万元，增长18.6%，主要原因是</w:t>
      </w:r>
      <w:r>
        <w:rPr>
          <w:rFonts w:hint="default" w:ascii="Times New Roman" w:hAnsi="Times New Roman" w:eastAsia="方正仿宋_GBK" w:cs="Times New Roman"/>
          <w:sz w:val="32"/>
          <w:szCs w:val="32"/>
          <w:shd w:val="clear" w:color="auto" w:fill="FFFFFF"/>
          <w:lang w:eastAsia="zh-CN"/>
        </w:rPr>
        <w:t>新入职职工培训开支增加</w:t>
      </w:r>
      <w:r>
        <w:rPr>
          <w:rFonts w:hint="default" w:ascii="Times New Roman" w:hAnsi="Times New Roman" w:eastAsia="方正仿宋_GBK" w:cs="Times New Roman"/>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lang w:eastAsia="zh-CN"/>
        </w:rPr>
        <w:t>办公费、培训费和会议费等。</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（五）政府性基金预算收支决算情况说明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本部门2024年度无政府性基金预算财政拨款收支。</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（六）国有资本经营预算财政拨款支出决算情况说明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本部门2024年度无国有资本经营预算财政拨款支出。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9"/>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三、</w:t>
      </w:r>
      <w:r>
        <w:rPr>
          <w:rStyle w:val="9"/>
          <w:rFonts w:hint="default" w:ascii="Times New Roman" w:hAnsi="Times New Roman" w:eastAsia="方正仿宋_GBK" w:cs="Times New Roman"/>
          <w:sz w:val="32"/>
          <w:szCs w:val="32"/>
          <w:shd w:val="clear" w:color="auto" w:fill="FFFFFF"/>
          <w:lang w:eastAsia="zh-CN"/>
        </w:rPr>
        <w:t>财政拨款</w:t>
      </w:r>
      <w:r>
        <w:rPr>
          <w:rStyle w:val="9"/>
          <w:rFonts w:hint="default" w:ascii="Times New Roman" w:hAnsi="Times New Roman" w:eastAsia="方正仿宋_GBK" w:cs="Times New Roman"/>
          <w:sz w:val="32"/>
          <w:szCs w:val="32"/>
          <w:shd w:val="clear" w:color="auto" w:fill="FFFFFF"/>
        </w:rPr>
        <w:t>“三公”经费情况说明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lang w:eastAsia="zh-CN"/>
        </w:rPr>
        <w:t>我单位属于下设事业单位，未使用财政资金保障“三公”经费。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9"/>
          <w:rFonts w:hint="default" w:ascii="Times New Roman" w:hAnsi="Times New Roman" w:eastAsia="方正仿宋_GBK" w:cs="Times New Roman"/>
          <w:sz w:val="32"/>
          <w:szCs w:val="32"/>
          <w:shd w:val="clear" w:color="auto" w:fill="FFFFFF"/>
        </w:rPr>
      </w:pPr>
      <w:r>
        <w:rPr>
          <w:rStyle w:val="9"/>
          <w:rFonts w:hint="default" w:ascii="Times New Roman" w:hAnsi="Times New Roman" w:eastAsia="方正仿宋_GBK" w:cs="Times New Roman"/>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jc w:val="both"/>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本年度会议费支出0.00万元，与2023年度相比，无增减</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本年度培训费支出0.31万元，与2023年度相比，增加0.25万元，增长416.7%，主要原因是</w:t>
      </w:r>
      <w:r>
        <w:rPr>
          <w:rFonts w:hint="default" w:ascii="Times New Roman" w:hAnsi="Times New Roman" w:eastAsia="方正仿宋_GBK" w:cs="Times New Roman"/>
          <w:sz w:val="32"/>
          <w:szCs w:val="32"/>
          <w:shd w:val="clear" w:color="auto" w:fill="FFFFFF"/>
          <w:lang w:eastAsia="zh-CN"/>
        </w:rPr>
        <w:t>新入职职工参加培训</w:t>
      </w:r>
      <w:r>
        <w:rPr>
          <w:rFonts w:hint="default" w:ascii="Times New Roman" w:hAnsi="Times New Roman" w:eastAsia="方正仿宋_GBK" w:cs="Times New Roman"/>
          <w:sz w:val="32"/>
          <w:szCs w:val="32"/>
          <w:shd w:val="clear" w:color="auto" w:fill="FFFFFF"/>
        </w:rPr>
        <w:t>。本年度差旅费支出2.24万元，与2023年度相比，减少0.18万元，下降7.4%，主要原因是</w:t>
      </w:r>
      <w:r>
        <w:rPr>
          <w:rFonts w:hint="default" w:ascii="Times New Roman" w:hAnsi="Times New Roman" w:eastAsia="方正仿宋_GBK" w:cs="Times New Roman"/>
          <w:sz w:val="32"/>
          <w:szCs w:val="32"/>
          <w:shd w:val="clear" w:color="auto" w:fill="FFFFFF"/>
          <w:lang w:eastAsia="zh-CN"/>
        </w:rPr>
        <w:t>财政紧张，控制支出。</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按照部门决算列报口径，我</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不在机关运行经费统计范围之内。</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部门共有车辆0辆，其中，副部（省）级及以上领导用车0辆、主要负责人用车0辆、机要通信用车0辆、应急保障用车0辆、执法执勤用车0辆，特种专业技术用车0辆，离退休干部用车0辆。单价100万元（含）以上专用设备0台（套）。</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Times New Roman" w:hAnsi="Times New Roman" w:eastAsia="方正仿宋_GBK" w:cs="Times New Roman"/>
          <w:b/>
          <w:bCs/>
          <w:sz w:val="32"/>
          <w:szCs w:val="32"/>
          <w:shd w:val="clear" w:color="auto" w:fill="FFFFFF"/>
        </w:rPr>
      </w:pPr>
      <w:r>
        <w:rPr>
          <w:rFonts w:hint="default" w:ascii="Times New Roman" w:hAnsi="Times New Roman" w:eastAsia="方正仿宋_GBK" w:cs="Times New Roman"/>
          <w:b/>
          <w:bCs/>
          <w:sz w:val="32"/>
          <w:szCs w:val="32"/>
          <w:shd w:val="clear" w:color="auto" w:fill="FFFFFF"/>
        </w:rPr>
        <w:t>（四）政府采购支出情况说明</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2024年度我部门未发生政府采购事项，无相关经费支出。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2" w:firstLineChars="200"/>
        <w:textAlignment w:val="auto"/>
        <w:rPr>
          <w:rStyle w:val="9"/>
          <w:rFonts w:hint="eastAsia" w:ascii="黑体" w:hAnsi="黑体" w:eastAsia="黑体" w:cs="黑体"/>
          <w:sz w:val="32"/>
          <w:szCs w:val="32"/>
          <w:shd w:val="clear" w:color="auto" w:fill="FFFFFF"/>
          <w:lang w:val="en-US" w:eastAsia="zh-CN"/>
        </w:rPr>
      </w:pPr>
      <w:r>
        <w:rPr>
          <w:rStyle w:val="9"/>
          <w:rFonts w:hint="eastAsia" w:ascii="黑体" w:hAnsi="黑体" w:eastAsia="黑体" w:cs="黑体"/>
          <w:sz w:val="32"/>
          <w:szCs w:val="32"/>
          <w:shd w:val="clear" w:color="auto" w:fill="FFFFFF"/>
          <w:lang w:eastAsia="zh-CN"/>
        </w:rPr>
        <w:t>五</w:t>
      </w:r>
      <w:r>
        <w:rPr>
          <w:rStyle w:val="9"/>
          <w:rFonts w:ascii="黑体" w:hAnsi="黑体" w:eastAsia="黑体" w:cs="黑体"/>
          <w:sz w:val="32"/>
          <w:szCs w:val="32"/>
          <w:shd w:val="clear" w:color="auto" w:fill="FFFFFF"/>
        </w:rPr>
        <w:t>、</w:t>
      </w:r>
      <w:r>
        <w:rPr>
          <w:rStyle w:val="9"/>
          <w:rFonts w:hint="eastAsia" w:ascii="黑体" w:hAnsi="黑体" w:eastAsia="黑体" w:cs="黑体"/>
          <w:sz w:val="32"/>
          <w:szCs w:val="32"/>
          <w:shd w:val="clear" w:color="auto" w:fill="FFFFFF"/>
          <w:lang w:val="en-US" w:eastAsia="zh-CN"/>
        </w:rPr>
        <w:t>2024年度预算绩效管理情况说明</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（一）单位自评情况</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我单位2024年度未开展绩效自评。</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default"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（二）单位绩效评价情况</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我单位2024年度未开展绩效评价。</w:t>
      </w:r>
    </w:p>
    <w:p>
      <w:pPr>
        <w:pStyle w:val="10"/>
        <w:keepNext w:val="0"/>
        <w:keepLines w:val="0"/>
        <w:pageBreakBefore w:val="0"/>
        <w:widowControl/>
        <w:kinsoku/>
        <w:wordWrap/>
        <w:overflowPunct/>
        <w:topLinePunct w:val="0"/>
        <w:autoSpaceDE w:val="0"/>
        <w:autoSpaceDN/>
        <w:bidi w:val="0"/>
        <w:adjustRightInd/>
        <w:snapToGrid/>
        <w:spacing w:line="596" w:lineRule="exact"/>
        <w:ind w:firstLine="642" w:firstLineChars="200"/>
        <w:textAlignment w:val="auto"/>
        <w:rPr>
          <w:rFonts w:hint="eastAsia" w:ascii="楷体" w:hAnsi="楷体" w:eastAsia="楷体" w:cs="楷体"/>
          <w:b/>
          <w:bCs/>
          <w:sz w:val="32"/>
          <w:szCs w:val="32"/>
          <w:shd w:val="clear" w:color="auto" w:fill="FFFFFF"/>
          <w:lang w:val="en-US" w:eastAsia="zh-CN"/>
        </w:rPr>
      </w:pPr>
      <w:r>
        <w:rPr>
          <w:rFonts w:hint="eastAsia" w:ascii="楷体" w:hAnsi="楷体" w:eastAsia="楷体" w:cs="楷体"/>
          <w:b/>
          <w:bCs/>
          <w:sz w:val="32"/>
          <w:szCs w:val="32"/>
          <w:shd w:val="clear" w:color="auto" w:fill="FFFFFF"/>
          <w:lang w:val="en-US" w:eastAsia="zh-CN"/>
        </w:rPr>
        <w:t>（三）财政绩效评价情况</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区财政局未委托第三方对我单位开展绩效评价。</w:t>
      </w:r>
    </w:p>
    <w:p>
      <w:pPr>
        <w:pStyle w:val="6"/>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firstLine="642" w:firstLineChars="200"/>
        <w:jc w:val="both"/>
        <w:textAlignment w:val="auto"/>
        <w:rPr>
          <w:rStyle w:val="9"/>
          <w:rFonts w:hint="eastAsia" w:ascii="黑体" w:hAnsi="黑体" w:eastAsia="黑体" w:cs="黑体"/>
          <w:sz w:val="32"/>
          <w:szCs w:val="32"/>
          <w:shd w:val="clear" w:color="auto" w:fill="FFFFFF"/>
          <w:lang w:eastAsia="zh-CN"/>
        </w:rPr>
      </w:pPr>
      <w:r>
        <w:rPr>
          <w:rStyle w:val="9"/>
          <w:rFonts w:hint="eastAsia" w:ascii="黑体" w:hAnsi="黑体" w:eastAsia="黑体" w:cs="黑体"/>
          <w:sz w:val="32"/>
          <w:szCs w:val="32"/>
          <w:shd w:val="clear" w:color="auto" w:fill="FFFFFF"/>
          <w:lang w:eastAsia="zh-CN"/>
        </w:rPr>
        <w:t>专业名词解释</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财政拨款收入：指本年度从本级财政部门取得的财政拨款，包括一般公共预算财政拨款和政府性基金预算财政拨款。</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事业收入：指事业单位开展专业业务活动及其辅助活动取得的现金流入；事业单位收到的财政专户实际核拨的教育收费等资金在此反映。</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经营收入：指事业单位在专业业务活动及其辅助活动之外开展非独立核算经营活动取得的现金流入。</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使用非财政拨款结余：指单位在当年的“财政拨款收入”、“事业收入”、“经营收入”、“其他收入”等不足以安排当年支出的情况下，使用以前年度积累的非财政拨款结余弥补本年度收支缺口的资金。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年初结转和结余：指单位上年结转本年使用的基本支出结转、项目支出结转和结余、经营结余。</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结余分配：指单位按照国家有关规定，缴纳所得税、提取专用基金、转入非财政拨款结余等当年结余的分配情况。</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年末结转和结余：指单位结转下年的基本支出结转、项目支出结转和结余、经营结余。</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项目支出：指在基本支出之外为完成特定行政任务和事业发展目标所发生的支出。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经营支出：指事业单位在专业业务活动及其辅助活动之外开展非独立核算经营活动发生的支出。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工资福利支出(支出经济分类科目类级):反映单位开支的在职职工和编制外长期聘用人员的各类劳动报酬，以及为上述人员缴纳的各项社会保险费等。</w:t>
      </w:r>
      <w:r>
        <w:rPr>
          <w:rFonts w:hint="eastAsia" w:ascii="Times New Roman" w:hAnsi="Times New Roman" w:eastAsia="方正仿宋_GBK"/>
          <w:sz w:val="32"/>
          <w:szCs w:val="32"/>
          <w:shd w:val="clear" w:color="auto" w:fill="FFFFFF"/>
          <w:lang w:val="en-US" w:eastAsia="zh-CN"/>
        </w:rPr>
        <w:br w:type="textWrapping"/>
      </w:r>
      <w:r>
        <w:rPr>
          <w:rFonts w:hint="eastAsia" w:ascii="Times New Roman" w:hAnsi="Times New Roman" w:eastAsia="方正仿宋_GBK"/>
          <w:sz w:val="32"/>
          <w:szCs w:val="32"/>
          <w:shd w:val="clear" w:color="auto" w:fill="FFFFFF"/>
          <w:lang w:val="en-US" w:eastAsia="zh-CN"/>
        </w:rPr>
        <w:t>(十五)商品和服务支出(支出经济分类科目类级):反映单位购买商品和服务的支出(不包括用于购置固定资产的支出、战略性和应急储备支出)。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对个人和家庭的补助(支出经济分类科目类级):反映用于对个人和家庭的补助支出。</w:t>
      </w:r>
    </w:p>
    <w:p>
      <w:pPr>
        <w:pStyle w:val="6"/>
        <w:keepNext w:val="0"/>
        <w:keepLines w:val="0"/>
        <w:pageBreakBefore w:val="0"/>
        <w:widowControl/>
        <w:numPr>
          <w:ilvl w:val="0"/>
          <w:numId w:val="2"/>
        </w:numPr>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numPr>
          <w:ilvl w:val="0"/>
          <w:numId w:val="1"/>
        </w:numPr>
        <w:kinsoku/>
        <w:wordWrap/>
        <w:overflowPunct/>
        <w:topLinePunct w:val="0"/>
        <w:autoSpaceDE/>
        <w:autoSpaceDN/>
        <w:bidi w:val="0"/>
        <w:adjustRightInd/>
        <w:snapToGrid w:val="0"/>
        <w:spacing w:before="0" w:beforeAutospacing="0" w:after="0" w:afterAutospacing="0" w:line="596" w:lineRule="exact"/>
        <w:ind w:left="0" w:leftChars="0" w:firstLine="642" w:firstLineChars="200"/>
        <w:jc w:val="both"/>
        <w:textAlignment w:val="auto"/>
        <w:rPr>
          <w:rStyle w:val="9"/>
          <w:rFonts w:hint="eastAsia" w:ascii="黑体" w:hAnsi="黑体" w:eastAsia="黑体" w:cs="黑体"/>
          <w:sz w:val="32"/>
          <w:szCs w:val="32"/>
          <w:shd w:val="clear" w:color="auto" w:fill="FFFFFF"/>
          <w:lang w:eastAsia="zh-CN"/>
        </w:rPr>
      </w:pPr>
      <w:r>
        <w:rPr>
          <w:rStyle w:val="9"/>
          <w:rFonts w:hint="eastAsia" w:ascii="黑体" w:hAnsi="黑体" w:eastAsia="黑体" w:cs="黑体"/>
          <w:sz w:val="32"/>
          <w:szCs w:val="32"/>
          <w:shd w:val="clear" w:color="auto" w:fill="FFFFFF"/>
          <w:lang w:eastAsia="zh-CN"/>
        </w:rPr>
        <w:t>决算公开联系方式及信息反馈渠道</w:t>
      </w:r>
    </w:p>
    <w:p>
      <w:pPr>
        <w:pStyle w:val="6"/>
        <w:keepNext w:val="0"/>
        <w:keepLines w:val="0"/>
        <w:pageBreakBefore w:val="0"/>
        <w:widowControl/>
        <w:numPr>
          <w:ilvl w:val="0"/>
          <w:numId w:val="0"/>
        </w:numPr>
        <w:kinsoku/>
        <w:wordWrap/>
        <w:overflowPunct/>
        <w:topLinePunct w:val="0"/>
        <w:autoSpaceDE/>
        <w:autoSpaceDN/>
        <w:bidi w:val="0"/>
        <w:adjustRightInd/>
        <w:snapToGrid w:val="0"/>
        <w:spacing w:before="0" w:beforeAutospacing="0" w:after="0" w:afterAutospacing="0" w:line="596" w:lineRule="exact"/>
        <w:ind w:leftChars="200"/>
        <w:jc w:val="both"/>
        <w:textAlignment w:val="auto"/>
        <w:rPr>
          <w:rFonts w:hint="default" w:ascii="Times New Roman" w:hAnsi="Times New Roman" w:eastAsia="方正仿宋_GBK"/>
          <w:sz w:val="32"/>
          <w:szCs w:val="32"/>
          <w:shd w:val="clear" w:color="auto" w:fill="FFFFFF"/>
          <w:lang w:val="en-US" w:eastAsia="zh-CN"/>
        </w:rPr>
      </w:pPr>
      <w:r>
        <w:rPr>
          <w:rFonts w:hint="eastAsia" w:ascii="Times New Roman" w:hAnsi="Times New Roman" w:eastAsia="方正仿宋_GBK"/>
          <w:sz w:val="32"/>
          <w:szCs w:val="32"/>
          <w:shd w:val="clear" w:color="auto" w:fill="FFFFFF"/>
          <w:lang w:val="en-US" w:eastAsia="zh-CN"/>
        </w:rPr>
        <w:t>本单位决算公开信息反馈和联系方式：</w:t>
      </w:r>
      <w:r>
        <w:rPr>
          <w:rFonts w:hint="eastAsia" w:ascii="Times New Roman" w:hAnsi="Times New Roman" w:eastAsia="方正仿宋_GBK"/>
          <w:sz w:val="32"/>
          <w:szCs w:val="32"/>
          <w:shd w:val="clear" w:color="auto" w:fill="FFFFFF"/>
          <w:lang w:val="en-US" w:eastAsia="zh-CN"/>
        </w:rPr>
        <w:br w:type="textWrapping"/>
      </w:r>
      <w:r>
        <w:rPr>
          <w:rFonts w:hint="eastAsia" w:ascii="Times New Roman" w:hAnsi="Times New Roman" w:eastAsia="方正仿宋_GBK"/>
          <w:sz w:val="32"/>
          <w:szCs w:val="32"/>
          <w:shd w:val="clear" w:color="auto" w:fill="FFFFFF"/>
          <w:lang w:val="en-US" w:eastAsia="zh-CN"/>
        </w:rPr>
        <w:t>江楠 023-53330000</w:t>
      </w:r>
    </w:p>
    <w:p>
      <w:pPr>
        <w:pStyle w:val="6"/>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6264"/>
        <w:gridCol w:w="5189"/>
        <w:gridCol w:w="5899"/>
        <w:gridCol w:w="4144"/>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重庆市梁平区石安镇劳动就业和社会保障服务所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54.40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59.49</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hint="default" w:cs="宋体"/>
          <w:sz w:val="20"/>
          <w:szCs w:val="20"/>
        </w:rPr>
      </w:pP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987"/>
        <w:gridCol w:w="4337"/>
        <w:gridCol w:w="2009"/>
        <w:gridCol w:w="2089"/>
        <w:gridCol w:w="2138"/>
        <w:gridCol w:w="1981"/>
        <w:gridCol w:w="2017"/>
        <w:gridCol w:w="1832"/>
        <w:gridCol w:w="1832"/>
        <w:gridCol w:w="239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重庆市梁平区石安镇劳动就业和社会保障服务所</w:t>
            </w: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59.49</w:t>
            </w:r>
            <w:r>
              <w:rPr>
                <w:rFonts w:ascii="Times New Roman" w:hAnsi="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59.49</w:t>
            </w:r>
            <w:r>
              <w:rPr>
                <w:rFonts w:ascii="Times New Roman" w:hAnsi="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41.83</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41.83</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41.83</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41.83</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12.57</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12.57</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w:t>
            </w:r>
            <w:r>
              <w:rPr>
                <w:rFonts w:ascii="Times New Roman" w:hAnsi="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w:t>
            </w:r>
            <w:r>
              <w:rPr>
                <w:rFonts w:ascii="Times New Roman" w:hAnsi="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804"/>
        <w:gridCol w:w="5712"/>
        <w:gridCol w:w="2626"/>
        <w:gridCol w:w="2538"/>
        <w:gridCol w:w="2293"/>
        <w:gridCol w:w="2200"/>
        <w:gridCol w:w="2437"/>
        <w:gridCol w:w="273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重庆市梁平区石安镇劳动就业和社会保障服务所 </w:t>
            </w: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59.49</w:t>
            </w:r>
            <w:r>
              <w:rPr>
                <w:rFonts w:ascii="Times New Roman" w:hAnsi="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59.49</w:t>
            </w:r>
            <w:r>
              <w:rPr>
                <w:rFonts w:ascii="Times New Roman" w:hAnsi="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54.40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41.83</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41.83</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41.83</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41.83</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12.57</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12.57</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1.98</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w:t>
            </w:r>
            <w:r>
              <w:rPr>
                <w:rFonts w:ascii="Times New Roman" w:hAnsi="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2.80</w:t>
            </w:r>
            <w:r>
              <w:rPr>
                <w:rFonts w:ascii="Times New Roman" w:hAnsi="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4329"/>
        <w:gridCol w:w="2218"/>
        <w:gridCol w:w="4638"/>
        <w:gridCol w:w="2471"/>
        <w:gridCol w:w="2471"/>
        <w:gridCol w:w="2471"/>
        <w:gridCol w:w="2813"/>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54.40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1904"/>
        <w:gridCol w:w="5941"/>
        <w:gridCol w:w="4823"/>
        <w:gridCol w:w="4810"/>
        <w:gridCol w:w="4872"/>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重庆市梁平区石安镇劳动就业和社会保障服务所</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54.40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54.40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41.83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社会保险经办机构</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41.83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12.57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0.32</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4994" w:type="pct"/>
        <w:tblInd w:w="0" w:type="dxa"/>
        <w:tblLayout w:type="autofit"/>
        <w:tblCellMar>
          <w:top w:w="0" w:type="dxa"/>
          <w:left w:w="0" w:type="dxa"/>
          <w:bottom w:w="0" w:type="dxa"/>
          <w:right w:w="0" w:type="dxa"/>
        </w:tblCellMar>
      </w:tblPr>
      <w:tblGrid>
        <w:gridCol w:w="1170"/>
        <w:gridCol w:w="4099"/>
        <w:gridCol w:w="2246"/>
        <w:gridCol w:w="1272"/>
        <w:gridCol w:w="2964"/>
        <w:gridCol w:w="2067"/>
        <w:gridCol w:w="1272"/>
        <w:gridCol w:w="5049"/>
        <w:gridCol w:w="2184"/>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重庆市梁平区石安镇劳动就业和社会保障服务所</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55.03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4.46</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autofit"/>
        <w:tblCellMar>
          <w:top w:w="0" w:type="dxa"/>
          <w:left w:w="0" w:type="dxa"/>
          <w:bottom w:w="0" w:type="dxa"/>
          <w:right w:w="0" w:type="dxa"/>
        </w:tblCellMar>
      </w:tblPr>
      <w:tblGrid>
        <w:gridCol w:w="2024"/>
        <w:gridCol w:w="5145"/>
        <w:gridCol w:w="2481"/>
        <w:gridCol w:w="2481"/>
        <w:gridCol w:w="2481"/>
        <w:gridCol w:w="2481"/>
        <w:gridCol w:w="2575"/>
        <w:gridCol w:w="2682"/>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904"/>
        <w:gridCol w:w="5257"/>
        <w:gridCol w:w="4774"/>
        <w:gridCol w:w="277"/>
        <w:gridCol w:w="5051"/>
        <w:gridCol w:w="125"/>
        <w:gridCol w:w="496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重庆市梁平区石安镇劳动就业和社会保障服务所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4611" w:type="pct"/>
        <w:tblInd w:w="0" w:type="dxa"/>
        <w:tblLayout w:type="autofit"/>
        <w:tblCellMar>
          <w:top w:w="0" w:type="dxa"/>
          <w:left w:w="170" w:type="dxa"/>
          <w:bottom w:w="0" w:type="dxa"/>
          <w:right w:w="170" w:type="dxa"/>
        </w:tblCellMar>
      </w:tblPr>
      <w:tblGrid>
        <w:gridCol w:w="4633"/>
        <w:gridCol w:w="3524"/>
        <w:gridCol w:w="3463"/>
        <w:gridCol w:w="5355"/>
        <w:gridCol w:w="3636"/>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重庆市梁平区石安镇劳动就业和社会保障服务所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2.24</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eastAsia" w:ascii="宋体" w:hAnsi="宋体" w:eastAsia="宋体" w:cs="宋体"/>
          <w:color w:val="000000"/>
          <w:sz w:val="21"/>
          <w:szCs w:val="21"/>
          <w:lang w:bidi="ar"/>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10"/>
        <w:autoSpaceDE w:val="0"/>
        <w:ind w:firstLine="0" w:firstLineChars="0"/>
        <w:rPr>
          <w:rFonts w:hint="default" w:ascii="宋体" w:hAnsi="宋体" w:eastAsia="宋体" w:cs="宋体"/>
          <w:sz w:val="21"/>
          <w:szCs w:val="21"/>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8Y1JphwCAAArBAAADgAAAAAAAAABACAAAAA1AQAAZHJzL2Uyb0RvYy54bWxQSwUG&#10;AAAAAAYABgBZAQAAww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true"/>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eA1UVNgAAAAKAQAADwAAAAAAAAABACAAAAA4AAAAZHJzL2Rvd25y&#10;ZXYueG1sUEsBAhQAFAAAAAgAh07iQJMZTUchAgAAKgQAAA4AAAAAAAAAAQAgAAAAPQEAAGRycy9l&#10;Mm9Eb2MueG1sUEsFBgAAAAAGAAYAWQEAANAFAAAA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10B76"/>
    <w:multiLevelType w:val="singleLevel"/>
    <w:tmpl w:val="B2D10B76"/>
    <w:lvl w:ilvl="0" w:tentative="0">
      <w:start w:val="1"/>
      <w:numFmt w:val="chineseCounting"/>
      <w:lvlText w:val="(%1)"/>
      <w:lvlJc w:val="left"/>
      <w:pPr>
        <w:tabs>
          <w:tab w:val="left" w:pos="312"/>
        </w:tabs>
      </w:pPr>
      <w:rPr>
        <w:rFonts w:hint="eastAsia"/>
      </w:rPr>
    </w:lvl>
  </w:abstractNum>
  <w:abstractNum w:abstractNumId="1">
    <w:nsid w:val="F9794BB8"/>
    <w:multiLevelType w:val="singleLevel"/>
    <w:tmpl w:val="F9794BB8"/>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MzFjY2QwODgxNTU1YTFmMWUwZjY4MTA4ODM3ZmY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36C3C"/>
    <w:rsid w:val="13A71CB4"/>
    <w:rsid w:val="13AF1D43"/>
    <w:rsid w:val="13CE1647"/>
    <w:rsid w:val="14200702"/>
    <w:rsid w:val="144F3F11"/>
    <w:rsid w:val="1580711B"/>
    <w:rsid w:val="16D80EBF"/>
    <w:rsid w:val="189B0D0B"/>
    <w:rsid w:val="18E03A42"/>
    <w:rsid w:val="19313430"/>
    <w:rsid w:val="194A1770"/>
    <w:rsid w:val="199B7663"/>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F213FD9"/>
    <w:rsid w:val="1FCD26AF"/>
    <w:rsid w:val="20642787"/>
    <w:rsid w:val="20C83310"/>
    <w:rsid w:val="20EC77A3"/>
    <w:rsid w:val="21556F04"/>
    <w:rsid w:val="22403BD3"/>
    <w:rsid w:val="24944605"/>
    <w:rsid w:val="24B92327"/>
    <w:rsid w:val="2533755C"/>
    <w:rsid w:val="26396DF4"/>
    <w:rsid w:val="266B763B"/>
    <w:rsid w:val="268E040C"/>
    <w:rsid w:val="27167136"/>
    <w:rsid w:val="27B23302"/>
    <w:rsid w:val="27D424D7"/>
    <w:rsid w:val="285722C3"/>
    <w:rsid w:val="28DC1FF8"/>
    <w:rsid w:val="29310A5F"/>
    <w:rsid w:val="29C37A35"/>
    <w:rsid w:val="29E53C18"/>
    <w:rsid w:val="2A076083"/>
    <w:rsid w:val="2A306CA5"/>
    <w:rsid w:val="2A73162E"/>
    <w:rsid w:val="2AFA2E94"/>
    <w:rsid w:val="2B167953"/>
    <w:rsid w:val="2B200583"/>
    <w:rsid w:val="2B8209DE"/>
    <w:rsid w:val="2C6762A3"/>
    <w:rsid w:val="2D5F4C37"/>
    <w:rsid w:val="2E8B3008"/>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1E7803"/>
    <w:rsid w:val="39B82A39"/>
    <w:rsid w:val="39F3330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C972B74"/>
    <w:rsid w:val="5D290C69"/>
    <w:rsid w:val="5EFA176D"/>
    <w:rsid w:val="5F0247F9"/>
    <w:rsid w:val="5F2D4A41"/>
    <w:rsid w:val="5F962310"/>
    <w:rsid w:val="601C34ED"/>
    <w:rsid w:val="60A511FB"/>
    <w:rsid w:val="61025A59"/>
    <w:rsid w:val="613D5BBC"/>
    <w:rsid w:val="61536C39"/>
    <w:rsid w:val="616D60F9"/>
    <w:rsid w:val="62944DD7"/>
    <w:rsid w:val="63497036"/>
    <w:rsid w:val="63C1619B"/>
    <w:rsid w:val="63C25DC5"/>
    <w:rsid w:val="63C62057"/>
    <w:rsid w:val="63C73832"/>
    <w:rsid w:val="63F42B10"/>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FFB2E76"/>
    <w:rsid w:val="70AB70D6"/>
    <w:rsid w:val="70DE5507"/>
    <w:rsid w:val="71C34D91"/>
    <w:rsid w:val="71ED38AA"/>
    <w:rsid w:val="72DB435C"/>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方正仿宋_GBK" w:hAnsi="方正仿宋_GBK" w:eastAsia="方正仿宋_GBK" w:cs="方正仿宋_GBK"/>
      <w:sz w:val="31"/>
      <w:szCs w:val="31"/>
      <w:lang w:val="en-US" w:eastAsia="en-US" w:bidi="ar-SA"/>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7822</Words>
  <Characters>9778</Characters>
  <Lines>161</Lines>
  <Paragraphs>45</Paragraphs>
  <TotalTime>0</TotalTime>
  <ScaleCrop>false</ScaleCrop>
  <LinksUpToDate>false</LinksUpToDate>
  <CharactersWithSpaces>10775</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lenovo</cp:lastModifiedBy>
  <dcterms:modified xsi:type="dcterms:W3CDTF">2025-10-16T14:42:06Z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C0EEDEDC09CB451D9C23FA41308E0477</vt:lpwstr>
  </property>
</Properties>
</file>