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44"/>
          <w:szCs w:val="44"/>
        </w:rPr>
      </w:pPr>
      <w:bookmarkStart w:id="0" w:name="_Toc27832"/>
      <w:r>
        <w:rPr>
          <w:rFonts w:hint="eastAsia"/>
          <w:sz w:val="44"/>
          <w:szCs w:val="44"/>
        </w:rPr>
        <w:t xml:space="preserve">  </w:t>
      </w:r>
    </w:p>
    <w:p>
      <w:pPr>
        <w:spacing w:line="360" w:lineRule="auto"/>
        <w:jc w:val="center"/>
        <w:rPr>
          <w:b/>
          <w:bCs/>
          <w:sz w:val="44"/>
          <w:szCs w:val="44"/>
        </w:rPr>
      </w:pPr>
    </w:p>
    <w:p>
      <w:pPr>
        <w:spacing w:line="360" w:lineRule="auto"/>
        <w:jc w:val="center"/>
        <w:rPr>
          <w:sz w:val="36"/>
          <w:szCs w:val="36"/>
        </w:rPr>
      </w:pPr>
    </w:p>
    <w:p>
      <w:pPr>
        <w:spacing w:line="360" w:lineRule="auto"/>
        <w:jc w:val="center"/>
        <w:rPr>
          <w:sz w:val="36"/>
          <w:szCs w:val="36"/>
        </w:rPr>
      </w:pPr>
    </w:p>
    <w:p>
      <w:pPr>
        <w:spacing w:line="360" w:lineRule="auto"/>
        <w:jc w:val="center"/>
        <w:rPr>
          <w:sz w:val="36"/>
          <w:szCs w:val="36"/>
        </w:rPr>
      </w:pPr>
    </w:p>
    <w:p>
      <w:pPr>
        <w:spacing w:line="360" w:lineRule="auto"/>
        <w:jc w:val="center"/>
        <w:rPr>
          <w:sz w:val="36"/>
          <w:szCs w:val="36"/>
        </w:rPr>
      </w:pPr>
    </w:p>
    <w:p>
      <w:pPr>
        <w:spacing w:line="360" w:lineRule="auto"/>
        <w:jc w:val="center"/>
        <w:rPr>
          <w:sz w:val="36"/>
          <w:szCs w:val="36"/>
        </w:rPr>
      </w:pPr>
    </w:p>
    <w:p>
      <w:pPr>
        <w:spacing w:line="360" w:lineRule="auto"/>
        <w:jc w:val="center"/>
        <w:rPr>
          <w:sz w:val="36"/>
          <w:szCs w:val="36"/>
        </w:rPr>
      </w:pPr>
    </w:p>
    <w:p>
      <w:pPr>
        <w:spacing w:line="360" w:lineRule="auto"/>
        <w:jc w:val="center"/>
        <w:rPr>
          <w:sz w:val="36"/>
          <w:szCs w:val="36"/>
        </w:rPr>
      </w:pPr>
    </w:p>
    <w:p>
      <w:pPr>
        <w:spacing w:before="0" w:beforeLines="0" w:after="0" w:afterLines="0" w:line="240" w:lineRule="auto"/>
        <w:ind w:left="0" w:leftChars="0" w:right="0" w:rightChars="0" w:firstLine="0" w:firstLineChars="0"/>
        <w:jc w:val="center"/>
        <w:rPr>
          <w:rFonts w:hint="eastAsia" w:ascii="宋体" w:hAnsi="宋体"/>
          <w:b w:val="0"/>
          <w:bCs w:val="0"/>
          <w:sz w:val="32"/>
          <w:szCs w:val="32"/>
          <w:lang w:eastAsia="zh-CN"/>
        </w:rPr>
      </w:pPr>
      <w:r>
        <w:rPr>
          <w:rFonts w:hint="eastAsia" w:ascii="宋体" w:hAnsi="宋体"/>
          <w:b w:val="0"/>
          <w:bCs w:val="0"/>
          <w:sz w:val="32"/>
          <w:szCs w:val="32"/>
          <w:lang w:eastAsia="zh-CN"/>
        </w:rPr>
        <w:t>重庆市梁平区石安镇骆马村规划</w:t>
      </w:r>
    </w:p>
    <w:p>
      <w:pPr>
        <w:spacing w:before="0" w:beforeLines="0" w:after="0" w:afterLines="0" w:line="240" w:lineRule="auto"/>
        <w:ind w:left="0" w:leftChars="0" w:right="0" w:rightChars="0" w:firstLine="0" w:firstLineChars="0"/>
        <w:jc w:val="center"/>
        <w:rPr>
          <w:rFonts w:hint="default" w:ascii="宋体" w:hAnsi="宋体"/>
          <w:b w:val="0"/>
          <w:bCs w:val="0"/>
          <w:sz w:val="32"/>
          <w:szCs w:val="32"/>
          <w:lang w:val="en-US" w:eastAsia="zh-CN"/>
        </w:rPr>
        <w:sectPr>
          <w:footerReference r:id="rId3" w:type="default"/>
          <w:footerReference r:id="rId4" w:type="even"/>
          <w:pgSz w:w="11906" w:h="16838"/>
          <w:pgMar w:top="1440" w:right="1800" w:bottom="1440" w:left="1800" w:header="851" w:footer="992" w:gutter="0"/>
          <w:pgNumType w:fmt="decimalFullWidth" w:start="1"/>
          <w:cols w:space="720" w:num="1"/>
          <w:docGrid w:type="lines" w:linePitch="312" w:charSpace="0"/>
        </w:sectPr>
      </w:pPr>
      <w:r>
        <w:rPr>
          <w:rFonts w:hint="eastAsia" w:ascii="宋体" w:hAnsi="宋体"/>
          <w:b w:val="0"/>
          <w:bCs w:val="0"/>
          <w:sz w:val="32"/>
          <w:szCs w:val="32"/>
          <w:lang w:val="en-US" w:eastAsia="zh-CN"/>
        </w:rPr>
        <w:t>（2019-2035）</w:t>
      </w:r>
    </w:p>
    <w:p>
      <w:pPr>
        <w:spacing w:line="360" w:lineRule="auto"/>
        <w:jc w:val="center"/>
        <w:rPr>
          <w:b/>
          <w:bCs/>
          <w:sz w:val="44"/>
          <w:szCs w:val="44"/>
        </w:rPr>
      </w:pPr>
    </w:p>
    <w:p>
      <w:pPr>
        <w:spacing w:line="360" w:lineRule="auto"/>
        <w:jc w:val="center"/>
        <w:rPr>
          <w:b/>
          <w:bCs/>
          <w:sz w:val="44"/>
          <w:szCs w:val="44"/>
        </w:rPr>
      </w:pPr>
    </w:p>
    <w:p>
      <w:pPr>
        <w:ind w:firstLine="3360" w:firstLineChars="1600"/>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目   录</w:t>
      </w:r>
      <w:bookmarkEnd w:id="0"/>
    </w:p>
    <w:p>
      <w:pPr>
        <w:pStyle w:val="11"/>
        <w:tabs>
          <w:tab w:val="right" w:leader="dot" w:pos="8306"/>
        </w:tabs>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TOC \o "1-3" \h \z \u </w:instrText>
      </w:r>
      <w:r>
        <w:rPr>
          <w:rFonts w:hint="eastAsia" w:ascii="微软雅黑" w:hAnsi="微软雅黑" w:eastAsia="微软雅黑" w:cs="微软雅黑"/>
          <w:b/>
          <w:bCs/>
        </w:rPr>
        <w:fldChar w:fldCharType="separate"/>
      </w:r>
      <w:r>
        <w:rPr>
          <w:rFonts w:hint="eastAsia" w:ascii="微软雅黑" w:hAnsi="微软雅黑" w:eastAsia="微软雅黑" w:cs="微软雅黑"/>
          <w:bCs/>
        </w:rPr>
        <w:fldChar w:fldCharType="begin"/>
      </w:r>
      <w:r>
        <w:rPr>
          <w:rFonts w:hint="eastAsia" w:ascii="微软雅黑" w:hAnsi="微软雅黑" w:eastAsia="微软雅黑" w:cs="微软雅黑"/>
          <w:bCs/>
        </w:rPr>
        <w:instrText xml:space="preserve"> HYPERLINK \l _Toc17794 </w:instrText>
      </w:r>
      <w:r>
        <w:rPr>
          <w:rFonts w:hint="eastAsia" w:ascii="微软雅黑" w:hAnsi="微软雅黑" w:eastAsia="微软雅黑" w:cs="微软雅黑"/>
          <w:bCs/>
        </w:rPr>
        <w:fldChar w:fldCharType="separate"/>
      </w:r>
      <w:r>
        <w:rPr>
          <w:rFonts w:hint="eastAsia" w:ascii="微软雅黑" w:hAnsi="微软雅黑" w:eastAsia="微软雅黑" w:cs="微软雅黑"/>
          <w:szCs w:val="24"/>
        </w:rPr>
        <w:t>第一章 总  则</w:t>
      </w:r>
      <w:r>
        <w:tab/>
      </w:r>
      <w:r>
        <w:fldChar w:fldCharType="begin"/>
      </w:r>
      <w:r>
        <w:instrText xml:space="preserve"> PAGEREF _Toc17794 </w:instrText>
      </w:r>
      <w:r>
        <w:fldChar w:fldCharType="separate"/>
      </w:r>
      <w:r>
        <w:t>1</w:t>
      </w:r>
      <w:r>
        <w:fldChar w:fldCharType="end"/>
      </w:r>
      <w:r>
        <w:rPr>
          <w:rFonts w:hint="eastAsia" w:ascii="微软雅黑" w:hAnsi="微软雅黑" w:eastAsia="微软雅黑" w:cs="微软雅黑"/>
          <w:bCs/>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_Toc26955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第二章 村域人口规模预测</w:t>
      </w:r>
      <w:r>
        <w:tab/>
      </w:r>
      <w:r>
        <w:fldChar w:fldCharType="begin"/>
      </w:r>
      <w:r>
        <w:instrText xml:space="preserve"> PAGEREF _Toc26955 </w:instrText>
      </w:r>
      <w:r>
        <w:fldChar w:fldCharType="separate"/>
      </w:r>
      <w:r>
        <w:t>3</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_Toc19363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第三章 村域</w:t>
      </w:r>
      <w:r>
        <w:rPr>
          <w:rFonts w:hint="eastAsia" w:ascii="微软雅黑" w:hAnsi="微软雅黑" w:eastAsia="微软雅黑" w:cs="微软雅黑"/>
          <w:szCs w:val="24"/>
          <w:lang w:eastAsia="zh-CN"/>
        </w:rPr>
        <w:t>“三生三线”规划</w:t>
      </w:r>
      <w:r>
        <w:rPr>
          <w:rFonts w:hint="eastAsia" w:ascii="微软雅黑" w:hAnsi="微软雅黑" w:eastAsia="微软雅黑" w:cs="微软雅黑"/>
          <w:szCs w:val="24"/>
        </w:rPr>
        <w:t>及相关控制要求</w:t>
      </w:r>
      <w:r>
        <w:tab/>
      </w:r>
      <w:r>
        <w:fldChar w:fldCharType="begin"/>
      </w:r>
      <w:r>
        <w:instrText xml:space="preserve"> PAGEREF _Toc19363 </w:instrText>
      </w:r>
      <w:r>
        <w:fldChar w:fldCharType="separate"/>
      </w:r>
      <w:r>
        <w:t>4</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_Toc3574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第四章 村域土地利用规划</w:t>
      </w:r>
      <w:r>
        <w:tab/>
      </w:r>
      <w:r>
        <w:fldChar w:fldCharType="begin"/>
      </w:r>
      <w:r>
        <w:instrText xml:space="preserve"> PAGEREF _Toc3574 </w:instrText>
      </w:r>
      <w:r>
        <w:fldChar w:fldCharType="separate"/>
      </w:r>
      <w:r>
        <w:t>6</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_Toc21406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第五章 村域产业发展规划</w:t>
      </w:r>
      <w:r>
        <w:tab/>
      </w:r>
      <w:r>
        <w:fldChar w:fldCharType="begin"/>
      </w:r>
      <w:r>
        <w:instrText xml:space="preserve"> PAGEREF _Toc21406 </w:instrText>
      </w:r>
      <w:r>
        <w:fldChar w:fldCharType="separate"/>
      </w:r>
      <w:r>
        <w:t>7</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_Toc17075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8"/>
          <w:lang w:eastAsia="zh-CN"/>
        </w:rPr>
        <w:t>第六章</w:t>
      </w:r>
      <w:r>
        <w:rPr>
          <w:rFonts w:hint="eastAsia" w:ascii="微软雅黑" w:hAnsi="微软雅黑" w:eastAsia="微软雅黑" w:cs="微软雅黑"/>
          <w:szCs w:val="28"/>
          <w:lang w:val="en-US" w:eastAsia="zh-CN"/>
        </w:rPr>
        <w:t xml:space="preserve"> </w:t>
      </w:r>
      <w:r>
        <w:rPr>
          <w:rFonts w:hint="eastAsia" w:ascii="微软雅黑" w:hAnsi="微软雅黑" w:eastAsia="微软雅黑" w:cs="微软雅黑"/>
          <w:szCs w:val="28"/>
        </w:rPr>
        <w:t>村域居民</w:t>
      </w:r>
      <w:r>
        <w:rPr>
          <w:rFonts w:hint="eastAsia" w:ascii="微软雅黑" w:hAnsi="微软雅黑" w:eastAsia="微软雅黑" w:cs="微软雅黑"/>
          <w:szCs w:val="28"/>
          <w:lang w:eastAsia="zh-CN"/>
        </w:rPr>
        <w:t>建筑规划</w:t>
      </w:r>
      <w:r>
        <w:tab/>
      </w:r>
      <w:r>
        <w:fldChar w:fldCharType="begin"/>
      </w:r>
      <w:r>
        <w:instrText xml:space="preserve"> PAGEREF _Toc17075 </w:instrText>
      </w:r>
      <w:r>
        <w:fldChar w:fldCharType="separate"/>
      </w:r>
      <w:r>
        <w:t>9</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_Toc17274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w:t>
      </w:r>
      <w:r>
        <w:rPr>
          <w:rFonts w:hint="eastAsia" w:ascii="微软雅黑" w:hAnsi="微软雅黑" w:eastAsia="微软雅黑" w:cs="微软雅黑"/>
          <w:szCs w:val="24"/>
          <w:lang w:eastAsia="zh-CN"/>
        </w:rPr>
        <w:t>七</w:t>
      </w:r>
      <w:r>
        <w:rPr>
          <w:rFonts w:hint="eastAsia" w:ascii="微软雅黑" w:hAnsi="微软雅黑" w:eastAsia="微软雅黑" w:cs="微软雅黑"/>
          <w:szCs w:val="24"/>
        </w:rPr>
        <w:t>章 村域公共服务设施规划</w:t>
      </w:r>
      <w:r>
        <w:tab/>
      </w:r>
      <w:r>
        <w:fldChar w:fldCharType="begin"/>
      </w:r>
      <w:r>
        <w:instrText xml:space="preserve"> PAGEREF _Toc17274 </w:instrText>
      </w:r>
      <w:r>
        <w:fldChar w:fldCharType="separate"/>
      </w:r>
      <w:r>
        <w:t>10</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_Toc27777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w:t>
      </w:r>
      <w:r>
        <w:rPr>
          <w:rFonts w:hint="eastAsia" w:ascii="微软雅黑" w:hAnsi="微软雅黑" w:eastAsia="微软雅黑" w:cs="微软雅黑"/>
          <w:szCs w:val="24"/>
          <w:lang w:eastAsia="zh-CN"/>
        </w:rPr>
        <w:t>八</w:t>
      </w:r>
      <w:r>
        <w:rPr>
          <w:rFonts w:hint="eastAsia" w:ascii="微软雅黑" w:hAnsi="微软雅黑" w:eastAsia="微软雅黑" w:cs="微软雅黑"/>
          <w:szCs w:val="24"/>
        </w:rPr>
        <w:t>章 村域交通规划</w:t>
      </w:r>
      <w:r>
        <w:tab/>
      </w:r>
      <w:r>
        <w:fldChar w:fldCharType="begin"/>
      </w:r>
      <w:r>
        <w:instrText xml:space="preserve"> PAGEREF _Toc27777 </w:instrText>
      </w:r>
      <w:r>
        <w:fldChar w:fldCharType="separate"/>
      </w:r>
      <w:r>
        <w:t>11</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_Toc28423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w:t>
      </w:r>
      <w:r>
        <w:rPr>
          <w:rFonts w:hint="eastAsia" w:ascii="微软雅黑" w:hAnsi="微软雅黑" w:eastAsia="微软雅黑" w:cs="微软雅黑"/>
          <w:szCs w:val="24"/>
          <w:lang w:val="en-US" w:eastAsia="zh-CN"/>
        </w:rPr>
        <w:t>九</w:t>
      </w:r>
      <w:r>
        <w:rPr>
          <w:rFonts w:hint="eastAsia" w:ascii="微软雅黑" w:hAnsi="微软雅黑" w:eastAsia="微软雅黑" w:cs="微软雅黑"/>
          <w:szCs w:val="24"/>
        </w:rPr>
        <w:t>章 村域基础设施规划</w:t>
      </w:r>
      <w:r>
        <w:tab/>
      </w:r>
      <w:r>
        <w:fldChar w:fldCharType="begin"/>
      </w:r>
      <w:r>
        <w:instrText xml:space="preserve"> PAGEREF _Toc28423 </w:instrText>
      </w:r>
      <w:r>
        <w:fldChar w:fldCharType="separate"/>
      </w:r>
      <w:r>
        <w:t>12</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_Toc12180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w:t>
      </w:r>
      <w:r>
        <w:rPr>
          <w:rFonts w:hint="eastAsia" w:ascii="微软雅黑" w:hAnsi="微软雅黑" w:eastAsia="微软雅黑" w:cs="微软雅黑"/>
          <w:szCs w:val="24"/>
          <w:lang w:eastAsia="zh-CN"/>
        </w:rPr>
        <w:t>十</w:t>
      </w:r>
      <w:r>
        <w:rPr>
          <w:rFonts w:hint="eastAsia" w:ascii="微软雅黑" w:hAnsi="微软雅黑" w:eastAsia="微软雅黑" w:cs="微软雅黑"/>
          <w:szCs w:val="24"/>
        </w:rPr>
        <w:t>章 村域生态环境保护</w:t>
      </w:r>
      <w:r>
        <w:tab/>
      </w:r>
      <w:r>
        <w:fldChar w:fldCharType="begin"/>
      </w:r>
      <w:r>
        <w:instrText xml:space="preserve"> PAGEREF _Toc12180 </w:instrText>
      </w:r>
      <w:r>
        <w:fldChar w:fldCharType="separate"/>
      </w:r>
      <w:r>
        <w:t>14</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_Toc4804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第十</w:t>
      </w:r>
      <w:r>
        <w:rPr>
          <w:rFonts w:hint="eastAsia" w:ascii="微软雅黑" w:hAnsi="微软雅黑" w:eastAsia="微软雅黑" w:cs="微软雅黑"/>
          <w:szCs w:val="24"/>
          <w:lang w:eastAsia="zh-CN"/>
        </w:rPr>
        <w:t>一</w:t>
      </w:r>
      <w:r>
        <w:rPr>
          <w:rFonts w:hint="eastAsia" w:ascii="微软雅黑" w:hAnsi="微软雅黑" w:eastAsia="微软雅黑" w:cs="微软雅黑"/>
          <w:szCs w:val="24"/>
        </w:rPr>
        <w:t>章 防灾减灾</w:t>
      </w:r>
      <w:r>
        <w:tab/>
      </w:r>
      <w:r>
        <w:fldChar w:fldCharType="begin"/>
      </w:r>
      <w:r>
        <w:instrText xml:space="preserve"> PAGEREF _Toc4804 </w:instrText>
      </w:r>
      <w:r>
        <w:fldChar w:fldCharType="separate"/>
      </w:r>
      <w:r>
        <w:t>17</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_Toc17182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第十</w:t>
      </w:r>
      <w:r>
        <w:rPr>
          <w:rFonts w:hint="eastAsia" w:ascii="微软雅黑" w:hAnsi="微软雅黑" w:eastAsia="微软雅黑" w:cs="微软雅黑"/>
          <w:szCs w:val="24"/>
          <w:lang w:eastAsia="zh-CN"/>
        </w:rPr>
        <w:t>二</w:t>
      </w:r>
      <w:r>
        <w:rPr>
          <w:rFonts w:hint="eastAsia" w:ascii="微软雅黑" w:hAnsi="微软雅黑" w:eastAsia="微软雅黑" w:cs="微软雅黑"/>
          <w:szCs w:val="24"/>
        </w:rPr>
        <w:t>章 规划分期</w:t>
      </w:r>
      <w:r>
        <w:tab/>
      </w:r>
      <w:r>
        <w:fldChar w:fldCharType="begin"/>
      </w:r>
      <w:r>
        <w:instrText xml:space="preserve"> PAGEREF _Toc17182 </w:instrText>
      </w:r>
      <w:r>
        <w:fldChar w:fldCharType="separate"/>
      </w:r>
      <w:r>
        <w:t>18</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_Toc2816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第十</w:t>
      </w:r>
      <w:r>
        <w:rPr>
          <w:rFonts w:hint="eastAsia" w:ascii="微软雅黑" w:hAnsi="微软雅黑" w:eastAsia="微软雅黑" w:cs="微软雅黑"/>
          <w:szCs w:val="24"/>
          <w:lang w:eastAsia="zh-CN"/>
        </w:rPr>
        <w:t>三</w:t>
      </w:r>
      <w:r>
        <w:rPr>
          <w:rFonts w:hint="eastAsia" w:ascii="微软雅黑" w:hAnsi="微软雅黑" w:eastAsia="微软雅黑" w:cs="微软雅黑"/>
          <w:szCs w:val="24"/>
        </w:rPr>
        <w:t>章 规划实施保障</w:t>
      </w:r>
      <w:r>
        <w:tab/>
      </w:r>
      <w:r>
        <w:fldChar w:fldCharType="begin"/>
      </w:r>
      <w:r>
        <w:instrText xml:space="preserve"> PAGEREF _Toc2816 </w:instrText>
      </w:r>
      <w:r>
        <w:fldChar w:fldCharType="separate"/>
      </w:r>
      <w:r>
        <w:t>19</w:t>
      </w:r>
      <w:r>
        <w:fldChar w:fldCharType="end"/>
      </w:r>
      <w:r>
        <w:rPr>
          <w:rFonts w:hint="eastAsia" w:ascii="微软雅黑" w:hAnsi="微软雅黑" w:eastAsia="微软雅黑" w:cs="微软雅黑"/>
          <w:bCs/>
          <w:lang w:val="zh-CN"/>
        </w:rPr>
        <w:fldChar w:fldCharType="end"/>
      </w:r>
    </w:p>
    <w:p>
      <w:pPr>
        <w:pStyle w:val="11"/>
        <w:tabs>
          <w:tab w:val="right" w:leader="dot" w:pos="8306"/>
        </w:tabs>
      </w:pPr>
      <w:r>
        <w:rPr>
          <w:rFonts w:hint="eastAsia" w:ascii="微软雅黑" w:hAnsi="微软雅黑" w:eastAsia="微软雅黑" w:cs="微软雅黑"/>
          <w:bCs/>
          <w:lang w:val="zh-CN"/>
        </w:rPr>
        <w:fldChar w:fldCharType="begin"/>
      </w:r>
      <w:r>
        <w:rPr>
          <w:rFonts w:hint="eastAsia" w:ascii="微软雅黑" w:hAnsi="微软雅黑" w:eastAsia="微软雅黑" w:cs="微软雅黑"/>
          <w:bCs/>
          <w:lang w:val="zh-CN"/>
        </w:rPr>
        <w:instrText xml:space="preserve"> HYPERLINK \l _Toc13428 </w:instrText>
      </w:r>
      <w:r>
        <w:rPr>
          <w:rFonts w:hint="eastAsia" w:ascii="微软雅黑" w:hAnsi="微软雅黑" w:eastAsia="微软雅黑" w:cs="微软雅黑"/>
          <w:bCs/>
          <w:lang w:val="zh-CN"/>
        </w:rPr>
        <w:fldChar w:fldCharType="separate"/>
      </w:r>
      <w:r>
        <w:rPr>
          <w:rFonts w:hint="eastAsia" w:ascii="微软雅黑" w:hAnsi="微软雅黑" w:eastAsia="微软雅黑" w:cs="微软雅黑"/>
          <w:szCs w:val="24"/>
        </w:rPr>
        <w:t>第十</w:t>
      </w:r>
      <w:r>
        <w:rPr>
          <w:rFonts w:hint="eastAsia" w:ascii="微软雅黑" w:hAnsi="微软雅黑" w:eastAsia="微软雅黑" w:cs="微软雅黑"/>
          <w:szCs w:val="24"/>
          <w:lang w:eastAsia="zh-CN"/>
        </w:rPr>
        <w:t>四</w:t>
      </w:r>
      <w:r>
        <w:rPr>
          <w:rFonts w:hint="eastAsia" w:ascii="微软雅黑" w:hAnsi="微软雅黑" w:eastAsia="微软雅黑" w:cs="微软雅黑"/>
          <w:szCs w:val="24"/>
        </w:rPr>
        <w:t>章 附则</w:t>
      </w:r>
      <w:r>
        <w:tab/>
      </w:r>
      <w:r>
        <w:fldChar w:fldCharType="begin"/>
      </w:r>
      <w:r>
        <w:instrText xml:space="preserve"> PAGEREF _Toc13428 </w:instrText>
      </w:r>
      <w:r>
        <w:fldChar w:fldCharType="separate"/>
      </w:r>
      <w:r>
        <w:t>19</w:t>
      </w:r>
      <w:r>
        <w:fldChar w:fldCharType="end"/>
      </w:r>
      <w:r>
        <w:rPr>
          <w:rFonts w:hint="eastAsia" w:ascii="微软雅黑" w:hAnsi="微软雅黑" w:eastAsia="微软雅黑" w:cs="微软雅黑"/>
          <w:bCs/>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lang w:val="zh-CN"/>
        </w:rPr>
        <w:sectPr>
          <w:footerReference r:id="rId5" w:type="default"/>
          <w:pgSz w:w="11906" w:h="16838"/>
          <w:pgMar w:top="1440" w:right="1800" w:bottom="1440" w:left="1800" w:header="851" w:footer="992" w:gutter="0"/>
          <w:pgNumType w:fmt="upperRoman" w:start="1"/>
          <w:cols w:space="720" w:num="1"/>
          <w:docGrid w:type="lines" w:linePitch="312" w:charSpace="0"/>
        </w:sectPr>
      </w:pPr>
      <w:r>
        <w:rPr>
          <w:rFonts w:hint="eastAsia" w:ascii="微软雅黑" w:hAnsi="微软雅黑" w:eastAsia="微软雅黑" w:cs="微软雅黑"/>
          <w:bCs/>
          <w:lang w:val="zh-CN"/>
        </w:rPr>
        <w:fldChar w:fldCharType="end"/>
      </w:r>
    </w:p>
    <w:p>
      <w:pPr>
        <w:spacing w:line="360" w:lineRule="auto"/>
        <w:jc w:val="center"/>
        <w:outlineLvl w:val="0"/>
        <w:rPr>
          <w:rFonts w:hint="eastAsia" w:ascii="微软雅黑" w:hAnsi="微软雅黑" w:eastAsia="微软雅黑" w:cs="微软雅黑"/>
          <w:b/>
          <w:color w:val="000000"/>
          <w:sz w:val="24"/>
          <w:szCs w:val="24"/>
        </w:rPr>
      </w:pPr>
      <w:bookmarkStart w:id="1" w:name="_Toc488239681"/>
      <w:bookmarkStart w:id="2" w:name="_Toc17794"/>
      <w:bookmarkStart w:id="3" w:name="_Toc426359969"/>
      <w:bookmarkStart w:id="4" w:name="_Toc447132900"/>
      <w:r>
        <w:rPr>
          <w:rFonts w:hint="eastAsia" w:ascii="微软雅黑" w:hAnsi="微软雅黑" w:eastAsia="微软雅黑" w:cs="微软雅黑"/>
          <w:b/>
          <w:color w:val="000000"/>
          <w:sz w:val="28"/>
          <w:szCs w:val="24"/>
        </w:rPr>
        <w:t>第一章 总  则</w:t>
      </w:r>
      <w:bookmarkEnd w:id="1"/>
      <w:bookmarkEnd w:id="2"/>
    </w:p>
    <w:p>
      <w:pPr>
        <w:spacing w:line="360" w:lineRule="auto"/>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第一条 规划</w:t>
      </w:r>
      <w:r>
        <w:rPr>
          <w:rFonts w:hint="eastAsia" w:ascii="微软雅黑" w:hAnsi="微软雅黑" w:eastAsia="微软雅黑" w:cs="微软雅黑"/>
          <w:b/>
          <w:color w:val="000000"/>
          <w:sz w:val="24"/>
          <w:szCs w:val="24"/>
          <w:lang w:eastAsia="zh-CN"/>
        </w:rPr>
        <w:t>目的</w:t>
      </w:r>
    </w:p>
    <w:p>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为改善农村人居环境和生产条件，推进美丽乡村建设，实施乡村振兴战略，实现“多规合一”，促进农村一二三产业融合发展，引导村域土地合理利用和有序发展。特制定本规划。</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第二条 </w:t>
      </w:r>
      <w:r>
        <w:rPr>
          <w:rFonts w:hint="eastAsia" w:ascii="微软雅黑" w:hAnsi="微软雅黑" w:eastAsia="微软雅黑" w:cs="微软雅黑"/>
          <w:b/>
          <w:sz w:val="24"/>
          <w:szCs w:val="24"/>
          <w:lang w:eastAsia="zh-CN"/>
        </w:rPr>
        <w:t>规划适用</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lang w:eastAsia="zh-CN"/>
        </w:rPr>
        <w:t>骆马</w:t>
      </w:r>
      <w:r>
        <w:rPr>
          <w:rFonts w:hint="eastAsia" w:ascii="微软雅黑" w:hAnsi="微软雅黑" w:eastAsia="微软雅黑" w:cs="微软雅黑"/>
          <w:sz w:val="24"/>
        </w:rPr>
        <w:t>村村域范围内的建设管理活动必须符合本规划。</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第三条 规划范围</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规划范围为</w:t>
      </w:r>
      <w:r>
        <w:rPr>
          <w:rFonts w:hint="eastAsia" w:ascii="微软雅黑" w:hAnsi="微软雅黑" w:eastAsia="微软雅黑" w:cs="微软雅黑"/>
          <w:sz w:val="24"/>
          <w:lang w:eastAsia="zh-CN"/>
        </w:rPr>
        <w:t>骆马村</w:t>
      </w:r>
      <w:r>
        <w:rPr>
          <w:rFonts w:hint="eastAsia" w:ascii="微软雅黑" w:hAnsi="微软雅黑" w:eastAsia="微软雅黑" w:cs="微软雅黑"/>
          <w:sz w:val="24"/>
        </w:rPr>
        <w:t>村域，幅员面积</w:t>
      </w:r>
      <w:r>
        <w:rPr>
          <w:rFonts w:hint="eastAsia" w:ascii="微软雅黑" w:hAnsi="微软雅黑" w:eastAsia="微软雅黑" w:cs="微软雅黑"/>
          <w:sz w:val="24"/>
          <w:lang w:val="en-US" w:eastAsia="zh-CN"/>
        </w:rPr>
        <w:t>366.26</w:t>
      </w:r>
      <w:r>
        <w:rPr>
          <w:rFonts w:hint="eastAsia" w:ascii="微软雅黑" w:hAnsi="微软雅黑" w:eastAsia="微软雅黑" w:cs="微软雅黑"/>
          <w:sz w:val="24"/>
        </w:rPr>
        <w:t>公顷</w:t>
      </w:r>
      <w:r>
        <w:rPr>
          <w:rFonts w:hint="eastAsia" w:ascii="微软雅黑" w:hAnsi="微软雅黑" w:eastAsia="微软雅黑" w:cs="微软雅黑"/>
          <w:sz w:val="24"/>
          <w:lang w:eastAsia="zh-CN"/>
        </w:rPr>
        <w:t>，</w:t>
      </w:r>
      <w:r>
        <w:rPr>
          <w:rFonts w:hint="eastAsia" w:ascii="微软雅黑" w:hAnsi="微软雅黑" w:eastAsia="微软雅黑" w:cs="微软雅黑"/>
          <w:sz w:val="24"/>
          <w:szCs w:val="24"/>
        </w:rPr>
        <w:t>包括</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个村民小组。</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第四条 规划依据</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《中华人民共和国城乡规划法》</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《中华人民共和国土地管理法》</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《中共中央国务院关于实施乡村振兴战略的意见》</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《中华人民共和国林业法》</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《中华人民共和国环境保护法》</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《国务院关于推进重庆市统筹城乡改革和发展的若干意见》</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《重庆市土地管理规定》</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《重庆市城乡规划条例》</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《重庆市村规划技术导则（2009年试行）》</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《重庆市村规划编制办法（2009年试行）》</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《重庆市人民政府关于用好农业农村发展用地政策促进农民增收的指导意见（试行）》</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《重庆市规划局、重庆市国土房管局关于村规划编制工作的指导意见》</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lang w:eastAsia="zh-CN"/>
        </w:rPr>
        <w:t>《梁平区</w:t>
      </w:r>
      <w:r>
        <w:rPr>
          <w:rFonts w:hint="eastAsia" w:ascii="微软雅黑" w:hAnsi="微软雅黑" w:eastAsia="微软雅黑" w:cs="微软雅黑"/>
          <w:sz w:val="24"/>
        </w:rPr>
        <w:t>城乡总体规划（2014 - 2025 年）</w:t>
      </w:r>
      <w:r>
        <w:rPr>
          <w:rFonts w:hint="eastAsia" w:ascii="微软雅黑" w:hAnsi="微软雅黑" w:eastAsia="微软雅黑" w:cs="微软雅黑"/>
          <w:sz w:val="24"/>
          <w:lang w:eastAsia="zh-CN"/>
        </w:rPr>
        <w:t>》</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《重庆市</w:t>
      </w:r>
      <w:r>
        <w:rPr>
          <w:rFonts w:hint="eastAsia" w:ascii="微软雅黑" w:hAnsi="微软雅黑" w:eastAsia="微软雅黑" w:cs="微软雅黑"/>
          <w:sz w:val="24"/>
          <w:lang w:eastAsia="zh-CN"/>
        </w:rPr>
        <w:t>梁平区</w:t>
      </w:r>
      <w:r>
        <w:rPr>
          <w:rFonts w:hint="eastAsia" w:ascii="微软雅黑" w:hAnsi="微软雅黑" w:eastAsia="微软雅黑" w:cs="微软雅黑"/>
          <w:sz w:val="24"/>
        </w:rPr>
        <w:t>旅游发展总体规划》</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w:t>
      </w:r>
      <w:r>
        <w:rPr>
          <w:rFonts w:hint="eastAsia" w:ascii="微软雅黑" w:hAnsi="微软雅黑" w:eastAsia="微软雅黑" w:cs="微软雅黑"/>
          <w:sz w:val="24"/>
          <w:lang w:eastAsia="zh-CN"/>
        </w:rPr>
        <w:t>梁平区石安镇</w:t>
      </w:r>
      <w:r>
        <w:rPr>
          <w:rFonts w:hint="eastAsia" w:ascii="微软雅黑" w:hAnsi="微软雅黑" w:eastAsia="微软雅黑" w:cs="微软雅黑"/>
          <w:sz w:val="24"/>
        </w:rPr>
        <w:t>总体规划（201</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-2030年）》</w:t>
      </w:r>
    </w:p>
    <w:p>
      <w:pPr>
        <w:numPr>
          <w:ilvl w:val="0"/>
          <w:numId w:val="1"/>
        </w:num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w:t>
      </w:r>
      <w:r>
        <w:rPr>
          <w:rFonts w:hint="eastAsia" w:ascii="微软雅黑" w:hAnsi="微软雅黑" w:eastAsia="微软雅黑" w:cs="微软雅黑"/>
          <w:sz w:val="24"/>
          <w:lang w:eastAsia="zh-CN"/>
        </w:rPr>
        <w:t>石安镇</w:t>
      </w:r>
      <w:r>
        <w:rPr>
          <w:rFonts w:hint="eastAsia" w:ascii="微软雅黑" w:hAnsi="微软雅黑" w:eastAsia="微软雅黑" w:cs="微软雅黑"/>
          <w:sz w:val="24"/>
        </w:rPr>
        <w:t>土地利用总体规划（2006-2020年）》</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第五条 规划期限</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本规划期限为20</w:t>
      </w:r>
      <w:r>
        <w:rPr>
          <w:rFonts w:hint="eastAsia" w:ascii="微软雅黑" w:hAnsi="微软雅黑" w:eastAsia="微软雅黑" w:cs="微软雅黑"/>
          <w:sz w:val="24"/>
          <w:lang w:val="en-US" w:eastAsia="zh-CN"/>
        </w:rPr>
        <w:t>19</w:t>
      </w:r>
      <w:r>
        <w:rPr>
          <w:rFonts w:hint="eastAsia" w:ascii="微软雅黑" w:hAnsi="微软雅黑" w:eastAsia="微软雅黑" w:cs="微软雅黑"/>
          <w:sz w:val="24"/>
        </w:rPr>
        <w:t>—20</w:t>
      </w:r>
      <w:r>
        <w:rPr>
          <w:rFonts w:hint="eastAsia" w:ascii="微软雅黑" w:hAnsi="微软雅黑" w:eastAsia="微软雅黑" w:cs="微软雅黑"/>
          <w:sz w:val="24"/>
          <w:lang w:val="en-US" w:eastAsia="zh-CN"/>
        </w:rPr>
        <w:t>35</w:t>
      </w:r>
      <w:r>
        <w:rPr>
          <w:rFonts w:hint="eastAsia" w:ascii="微软雅黑" w:hAnsi="微软雅黑" w:eastAsia="微软雅黑" w:cs="微软雅黑"/>
          <w:sz w:val="24"/>
        </w:rPr>
        <w:t>年。</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六</w:t>
      </w:r>
      <w:r>
        <w:rPr>
          <w:rFonts w:hint="eastAsia" w:ascii="微软雅黑" w:hAnsi="微软雅黑" w:eastAsia="微软雅黑" w:cs="微软雅黑"/>
          <w:b/>
          <w:sz w:val="24"/>
          <w:szCs w:val="24"/>
        </w:rPr>
        <w:t>条 指导思想和规划原则</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以按照产业兴旺、生态宜居、乡风文明、治理有效、生活富裕的总要求为指导思想，遵循保护生态、有利生产、合理布局、改善生活、因地制宜、尊重传统、村民参与的原则。</w:t>
      </w:r>
    </w:p>
    <w:p>
      <w:pPr>
        <w:spacing w:line="360" w:lineRule="auto"/>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七</w:t>
      </w:r>
      <w:r>
        <w:rPr>
          <w:rFonts w:hint="eastAsia" w:ascii="微软雅黑" w:hAnsi="微软雅黑" w:eastAsia="微软雅黑" w:cs="微软雅黑"/>
          <w:b/>
          <w:sz w:val="24"/>
          <w:szCs w:val="24"/>
        </w:rPr>
        <w:t>条</w:t>
      </w:r>
      <w:r>
        <w:rPr>
          <w:rFonts w:hint="eastAsia" w:ascii="微软雅黑" w:hAnsi="微软雅黑" w:eastAsia="微软雅黑" w:cs="微软雅黑"/>
          <w:b/>
          <w:sz w:val="24"/>
          <w:szCs w:val="24"/>
          <w:lang w:eastAsia="zh-CN"/>
        </w:rPr>
        <w:t xml:space="preserve"> 规划发展战略</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乡村产业振兴：加快构建现代农业产业体系、生产体系、经营体系，推进农业由增产导向转向提质导向。</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乡村人才振兴：把人力资本开发放在首要位置，在乡村形成人才、土地、资金、产业汇聚的良性循环。</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乡村文化振兴：加强农村思想道德建设和公共文化建设，培育文明乡风、良好家风、淳朴民风。</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乡村生态振兴：坚持绿色发展，加强农村突出环境问题综合治理，让良好生态成为乡村振兴支撑点。</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第八条 法律规定</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本规划成果由《</w:t>
      </w:r>
      <w:r>
        <w:rPr>
          <w:rFonts w:hint="eastAsia" w:ascii="微软雅黑" w:hAnsi="微软雅黑" w:eastAsia="微软雅黑" w:cs="微软雅黑"/>
          <w:sz w:val="24"/>
          <w:szCs w:val="24"/>
          <w:lang w:eastAsia="zh-CN"/>
        </w:rPr>
        <w:t>重庆市梁平区石安镇骆马村村规划</w:t>
      </w:r>
      <w:r>
        <w:rPr>
          <w:rFonts w:hint="eastAsia" w:ascii="微软雅黑" w:hAnsi="微软雅黑" w:eastAsia="微软雅黑" w:cs="微软雅黑"/>
          <w:sz w:val="24"/>
          <w:szCs w:val="24"/>
        </w:rPr>
        <w:t>（201</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-20</w:t>
      </w:r>
      <w:r>
        <w:rPr>
          <w:rFonts w:hint="eastAsia" w:ascii="微软雅黑" w:hAnsi="微软雅黑" w:eastAsia="微软雅黑" w:cs="微软雅黑"/>
          <w:sz w:val="24"/>
          <w:szCs w:val="24"/>
          <w:lang w:val="en-US" w:eastAsia="zh-CN"/>
        </w:rPr>
        <w:t>35</w:t>
      </w:r>
      <w:r>
        <w:rPr>
          <w:rFonts w:hint="eastAsia" w:ascii="微软雅黑" w:hAnsi="微软雅黑" w:eastAsia="微软雅黑" w:cs="微软雅黑"/>
          <w:sz w:val="24"/>
          <w:szCs w:val="24"/>
        </w:rPr>
        <w:t>年）》文本、说明书及规划图纸三部分组成。其中，规划文本与规划图纸经批准后具有法律效力。</w:t>
      </w:r>
    </w:p>
    <w:bookmarkEnd w:id="3"/>
    <w:bookmarkEnd w:id="4"/>
    <w:p>
      <w:pPr>
        <w:spacing w:line="360" w:lineRule="auto"/>
        <w:jc w:val="center"/>
        <w:outlineLvl w:val="0"/>
        <w:rPr>
          <w:rFonts w:hint="eastAsia" w:ascii="微软雅黑" w:hAnsi="微软雅黑" w:eastAsia="微软雅黑" w:cs="微软雅黑"/>
          <w:b/>
          <w:color w:val="000000"/>
          <w:sz w:val="28"/>
          <w:szCs w:val="24"/>
        </w:rPr>
      </w:pPr>
      <w:bookmarkStart w:id="5" w:name="_Toc488239682"/>
      <w:bookmarkStart w:id="6" w:name="_Toc26955"/>
      <w:r>
        <w:rPr>
          <w:rFonts w:hint="eastAsia" w:ascii="微软雅黑" w:hAnsi="微软雅黑" w:eastAsia="微软雅黑" w:cs="微软雅黑"/>
          <w:b/>
          <w:color w:val="000000"/>
          <w:sz w:val="28"/>
          <w:szCs w:val="24"/>
        </w:rPr>
        <w:t>第二章 村域人口规模预测</w:t>
      </w:r>
      <w:bookmarkEnd w:id="5"/>
      <w:bookmarkEnd w:id="6"/>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第十条 </w:t>
      </w:r>
      <w:r>
        <w:rPr>
          <w:rFonts w:hint="eastAsia" w:ascii="微软雅黑" w:hAnsi="微软雅黑" w:eastAsia="微软雅黑" w:cs="微软雅黑"/>
          <w:b/>
          <w:sz w:val="24"/>
          <w:szCs w:val="24"/>
          <w:lang w:eastAsia="zh-CN"/>
        </w:rPr>
        <w:t>石安镇</w:t>
      </w:r>
      <w:r>
        <w:rPr>
          <w:rFonts w:hint="eastAsia" w:ascii="微软雅黑" w:hAnsi="微软雅黑" w:eastAsia="微软雅黑" w:cs="微软雅黑"/>
          <w:b/>
          <w:sz w:val="24"/>
          <w:szCs w:val="24"/>
        </w:rPr>
        <w:t>人口发展分析</w:t>
      </w:r>
    </w:p>
    <w:p>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在</w:t>
      </w:r>
      <w:r>
        <w:rPr>
          <w:rFonts w:hint="eastAsia" w:ascii="微软雅黑" w:hAnsi="微软雅黑" w:eastAsia="微软雅黑" w:cs="微软雅黑"/>
          <w:sz w:val="24"/>
          <w:szCs w:val="24"/>
          <w:lang w:eastAsia="zh-CN"/>
        </w:rPr>
        <w:t>《梁平区</w:t>
      </w:r>
      <w:r>
        <w:rPr>
          <w:rFonts w:hint="eastAsia" w:ascii="微软雅黑" w:hAnsi="微软雅黑" w:eastAsia="微软雅黑" w:cs="微软雅黑"/>
          <w:sz w:val="24"/>
          <w:szCs w:val="24"/>
        </w:rPr>
        <w:t>城乡总体规划</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的指引下，随着</w:t>
      </w:r>
      <w:r>
        <w:rPr>
          <w:rFonts w:hint="eastAsia" w:ascii="微软雅黑" w:hAnsi="微软雅黑" w:eastAsia="微软雅黑" w:cs="微软雅黑"/>
          <w:sz w:val="24"/>
          <w:szCs w:val="24"/>
          <w:lang w:eastAsia="zh-CN"/>
        </w:rPr>
        <w:t>梁平</w:t>
      </w:r>
      <w:r>
        <w:rPr>
          <w:rFonts w:hint="eastAsia" w:ascii="微软雅黑" w:hAnsi="微软雅黑" w:eastAsia="微软雅黑" w:cs="微软雅黑"/>
          <w:sz w:val="24"/>
          <w:szCs w:val="24"/>
        </w:rPr>
        <w:t>经济的快速发展，结合城乡统筹部署</w:t>
      </w:r>
      <w:r>
        <w:rPr>
          <w:rFonts w:hint="eastAsia" w:ascii="微软雅黑" w:hAnsi="微软雅黑" w:eastAsia="微软雅黑" w:cs="微软雅黑"/>
          <w:color w:val="000000" w:themeColor="text1"/>
          <w:sz w:val="24"/>
          <w:szCs w:val="24"/>
          <w14:textFill>
            <w14:solidFill>
              <w14:schemeClr w14:val="tx1"/>
            </w14:solidFill>
          </w14:textFill>
        </w:rPr>
        <w:t>，将进一步吸纳农村人口进入城镇。根据《</w:t>
      </w:r>
      <w:r>
        <w:rPr>
          <w:rFonts w:hint="eastAsia" w:ascii="微软雅黑" w:hAnsi="微软雅黑" w:eastAsia="微软雅黑" w:cs="微软雅黑"/>
          <w:color w:val="000000" w:themeColor="text1"/>
          <w:sz w:val="24"/>
          <w:szCs w:val="24"/>
          <w:lang w:eastAsia="zh-CN"/>
          <w14:textFill>
            <w14:solidFill>
              <w14:schemeClr w14:val="tx1"/>
            </w14:solidFill>
          </w14:textFill>
        </w:rPr>
        <w:t>梁平区石安镇</w:t>
      </w:r>
      <w:r>
        <w:rPr>
          <w:rFonts w:hint="eastAsia" w:ascii="微软雅黑" w:hAnsi="微软雅黑" w:eastAsia="微软雅黑" w:cs="微软雅黑"/>
          <w:color w:val="000000" w:themeColor="text1"/>
          <w:sz w:val="24"/>
          <w:szCs w:val="24"/>
          <w14:textFill>
            <w14:solidFill>
              <w14:schemeClr w14:val="tx1"/>
            </w14:solidFill>
          </w14:textFill>
        </w:rPr>
        <w:t>总体规划》对</w:t>
      </w:r>
      <w:r>
        <w:rPr>
          <w:rFonts w:hint="eastAsia" w:ascii="微软雅黑" w:hAnsi="微软雅黑" w:eastAsia="微软雅黑" w:cs="微软雅黑"/>
          <w:color w:val="000000" w:themeColor="text1"/>
          <w:sz w:val="24"/>
          <w:szCs w:val="24"/>
          <w:lang w:eastAsia="zh-CN"/>
          <w14:textFill>
            <w14:solidFill>
              <w14:schemeClr w14:val="tx1"/>
            </w14:solidFill>
          </w14:textFill>
        </w:rPr>
        <w:t>石安镇</w:t>
      </w:r>
      <w:r>
        <w:rPr>
          <w:rFonts w:hint="eastAsia" w:ascii="微软雅黑" w:hAnsi="微软雅黑" w:eastAsia="微软雅黑" w:cs="微软雅黑"/>
          <w:color w:val="000000" w:themeColor="text1"/>
          <w:sz w:val="24"/>
          <w:szCs w:val="24"/>
          <w14:textFill>
            <w14:solidFill>
              <w14:schemeClr w14:val="tx1"/>
            </w14:solidFill>
          </w14:textFill>
        </w:rPr>
        <w:t>农村人口的统筹安排，</w:t>
      </w:r>
      <w:r>
        <w:rPr>
          <w:rFonts w:hint="eastAsia" w:ascii="微软雅黑" w:hAnsi="微软雅黑" w:eastAsia="微软雅黑" w:cs="微软雅黑"/>
          <w:sz w:val="24"/>
          <w:lang w:eastAsia="zh-CN"/>
        </w:rPr>
        <w:t>近期至2020年全镇总人口达到</w:t>
      </w:r>
      <w:r>
        <w:rPr>
          <w:rFonts w:hint="eastAsia" w:ascii="微软雅黑" w:hAnsi="微软雅黑" w:eastAsia="微软雅黑" w:cs="微软雅黑"/>
          <w:sz w:val="24"/>
          <w:lang w:val="en-US" w:eastAsia="zh-CN"/>
        </w:rPr>
        <w:t>21831</w:t>
      </w:r>
      <w:r>
        <w:rPr>
          <w:rFonts w:hint="eastAsia" w:ascii="微软雅黑" w:hAnsi="微软雅黑" w:eastAsia="微软雅黑" w:cs="微软雅黑"/>
          <w:sz w:val="24"/>
          <w:lang w:eastAsia="zh-CN"/>
        </w:rPr>
        <w:t>人，城镇化水平达到</w:t>
      </w:r>
      <w:r>
        <w:rPr>
          <w:rFonts w:hint="eastAsia" w:ascii="微软雅黑" w:hAnsi="微软雅黑" w:eastAsia="微软雅黑" w:cs="微软雅黑"/>
          <w:sz w:val="24"/>
          <w:lang w:val="en-US" w:eastAsia="zh-CN"/>
        </w:rPr>
        <w:t>25.07</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，相应集镇常住人口</w:t>
      </w:r>
      <w:r>
        <w:rPr>
          <w:rFonts w:hint="eastAsia" w:ascii="微软雅黑" w:hAnsi="微软雅黑" w:eastAsia="微软雅黑" w:cs="微软雅黑"/>
          <w:sz w:val="24"/>
          <w:lang w:val="en-US" w:eastAsia="zh-CN"/>
        </w:rPr>
        <w:t>0.55万</w:t>
      </w:r>
      <w:r>
        <w:rPr>
          <w:rFonts w:hint="eastAsia" w:ascii="微软雅黑" w:hAnsi="微软雅黑" w:eastAsia="微软雅黑" w:cs="微软雅黑"/>
          <w:sz w:val="24"/>
        </w:rPr>
        <w:t>人；至2030年全镇总人口达到</w:t>
      </w:r>
      <w:r>
        <w:rPr>
          <w:rFonts w:hint="eastAsia" w:ascii="微软雅黑" w:hAnsi="微软雅黑" w:eastAsia="微软雅黑" w:cs="微软雅黑"/>
          <w:sz w:val="24"/>
          <w:lang w:val="en-US" w:eastAsia="zh-CN"/>
        </w:rPr>
        <w:t>27382</w:t>
      </w:r>
      <w:r>
        <w:rPr>
          <w:rFonts w:hint="eastAsia" w:ascii="微软雅黑" w:hAnsi="微软雅黑" w:eastAsia="微软雅黑" w:cs="微软雅黑"/>
          <w:sz w:val="24"/>
        </w:rPr>
        <w:t>人，城镇化水平达到</w:t>
      </w:r>
      <w:r>
        <w:rPr>
          <w:rFonts w:hint="eastAsia" w:ascii="微软雅黑" w:hAnsi="微软雅黑" w:eastAsia="微软雅黑" w:cs="微软雅黑"/>
          <w:sz w:val="24"/>
          <w:lang w:val="en-US" w:eastAsia="zh-CN"/>
        </w:rPr>
        <w:t>58.57</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集镇常住人口</w:t>
      </w:r>
      <w:r>
        <w:rPr>
          <w:rFonts w:hint="eastAsia" w:ascii="微软雅黑" w:hAnsi="微软雅黑" w:eastAsia="微软雅黑" w:cs="微软雅黑"/>
          <w:sz w:val="24"/>
          <w:lang w:val="en-US" w:eastAsia="zh-CN"/>
        </w:rPr>
        <w:t>1.6万</w:t>
      </w:r>
      <w:r>
        <w:rPr>
          <w:rFonts w:hint="eastAsia" w:ascii="微软雅黑" w:hAnsi="微软雅黑" w:eastAsia="微软雅黑" w:cs="微软雅黑"/>
          <w:sz w:val="24"/>
        </w:rPr>
        <w:t>人</w:t>
      </w:r>
      <w:r>
        <w:rPr>
          <w:rFonts w:hint="eastAsia" w:ascii="微软雅黑" w:hAnsi="微软雅黑" w:eastAsia="微软雅黑" w:cs="微软雅黑"/>
          <w:sz w:val="24"/>
          <w:lang w:eastAsia="zh-CN"/>
        </w:rPr>
        <w:t>，</w:t>
      </w:r>
      <w:r>
        <w:rPr>
          <w:rFonts w:hint="eastAsia" w:ascii="微软雅黑" w:hAnsi="微软雅黑" w:eastAsia="微软雅黑" w:cs="微软雅黑"/>
          <w:color w:val="000000" w:themeColor="text1"/>
          <w:sz w:val="24"/>
          <w:szCs w:val="24"/>
          <w14:textFill>
            <w14:solidFill>
              <w14:schemeClr w14:val="tx1"/>
            </w14:solidFill>
          </w14:textFill>
        </w:rPr>
        <w:t>农村人口呈减少趋势。</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第十一条 </w:t>
      </w:r>
      <w:r>
        <w:rPr>
          <w:rFonts w:hint="eastAsia" w:ascii="微软雅黑" w:hAnsi="微软雅黑" w:eastAsia="微软雅黑" w:cs="微软雅黑"/>
          <w:b/>
          <w:sz w:val="24"/>
          <w:szCs w:val="24"/>
          <w:lang w:eastAsia="zh-CN"/>
        </w:rPr>
        <w:t>骆马</w:t>
      </w:r>
      <w:r>
        <w:rPr>
          <w:rFonts w:hint="eastAsia" w:ascii="微软雅黑" w:hAnsi="微软雅黑" w:eastAsia="微软雅黑" w:cs="微软雅黑"/>
          <w:b/>
          <w:sz w:val="24"/>
          <w:szCs w:val="24"/>
        </w:rPr>
        <w:t>村人口发展分析</w:t>
      </w:r>
    </w:p>
    <w:p>
      <w:pPr>
        <w:pStyle w:val="49"/>
        <w:spacing w:line="360" w:lineRule="auto"/>
        <w:ind w:firstLine="482"/>
        <w:rPr>
          <w:rFonts w:hint="eastAsia" w:ascii="微软雅黑" w:hAnsi="微软雅黑" w:eastAsia="微软雅黑" w:cs="微软雅黑"/>
          <w:sz w:val="24"/>
        </w:rPr>
      </w:pPr>
      <w:r>
        <w:rPr>
          <w:rFonts w:hint="eastAsia" w:ascii="微软雅黑" w:hAnsi="微软雅黑" w:eastAsia="微软雅黑" w:cs="微软雅黑"/>
          <w:b/>
          <w:sz w:val="24"/>
        </w:rPr>
        <w:t>户籍人口：</w:t>
      </w:r>
      <w:r>
        <w:rPr>
          <w:rFonts w:hint="eastAsia" w:ascii="微软雅黑" w:hAnsi="微软雅黑" w:eastAsia="微软雅黑" w:cs="微软雅黑"/>
          <w:sz w:val="24"/>
        </w:rPr>
        <w:t>截至20</w:t>
      </w:r>
      <w:r>
        <w:rPr>
          <w:rFonts w:hint="eastAsia" w:ascii="微软雅黑" w:hAnsi="微软雅黑" w:eastAsia="微软雅黑" w:cs="微软雅黑"/>
          <w:sz w:val="24"/>
          <w:lang w:val="en-US" w:eastAsia="zh-CN"/>
        </w:rPr>
        <w:t>20</w:t>
      </w:r>
      <w:r>
        <w:rPr>
          <w:rFonts w:hint="eastAsia" w:ascii="微软雅黑" w:hAnsi="微软雅黑" w:eastAsia="微软雅黑" w:cs="微软雅黑"/>
          <w:sz w:val="24"/>
        </w:rPr>
        <w:t>年月</w:t>
      </w:r>
      <w:r>
        <w:rPr>
          <w:rFonts w:hint="eastAsia" w:ascii="微软雅黑" w:hAnsi="微软雅黑" w:eastAsia="微软雅黑" w:cs="微软雅黑"/>
          <w:color w:val="000000" w:themeColor="text1"/>
          <w:sz w:val="24"/>
          <w14:textFill>
            <w14:solidFill>
              <w14:schemeClr w14:val="tx1"/>
            </w14:solidFill>
          </w14:textFill>
        </w:rPr>
        <w:t>底，</w:t>
      </w:r>
      <w:r>
        <w:rPr>
          <w:rFonts w:hint="eastAsia" w:ascii="微软雅黑" w:hAnsi="微软雅黑" w:eastAsia="微软雅黑" w:cs="微软雅黑"/>
          <w:color w:val="000000" w:themeColor="text1"/>
          <w:sz w:val="24"/>
          <w:lang w:eastAsia="zh-CN"/>
          <w14:textFill>
            <w14:solidFill>
              <w14:schemeClr w14:val="tx1"/>
            </w14:solidFill>
          </w14:textFill>
        </w:rPr>
        <w:t>骆马村</w:t>
      </w:r>
      <w:r>
        <w:rPr>
          <w:rFonts w:hint="eastAsia" w:ascii="微软雅黑" w:hAnsi="微软雅黑" w:eastAsia="微软雅黑" w:cs="微软雅黑"/>
          <w:color w:val="000000" w:themeColor="text1"/>
          <w:sz w:val="24"/>
          <w14:textFill>
            <w14:solidFill>
              <w14:schemeClr w14:val="tx1"/>
            </w14:solidFill>
          </w14:textFill>
        </w:rPr>
        <w:t>共有户籍人口</w:t>
      </w:r>
      <w:r>
        <w:rPr>
          <w:rFonts w:hint="eastAsia" w:ascii="微软雅黑" w:hAnsi="微软雅黑" w:eastAsia="微软雅黑" w:cs="微软雅黑"/>
          <w:color w:val="000000" w:themeColor="text1"/>
          <w:sz w:val="24"/>
          <w:lang w:val="en-US" w:eastAsia="zh-CN"/>
          <w14:textFill>
            <w14:solidFill>
              <w14:schemeClr w14:val="tx1"/>
            </w14:solidFill>
          </w14:textFill>
        </w:rPr>
        <w:t>1366</w:t>
      </w:r>
      <w:r>
        <w:rPr>
          <w:rFonts w:hint="eastAsia" w:ascii="微软雅黑" w:hAnsi="微软雅黑" w:eastAsia="微软雅黑" w:cs="微软雅黑"/>
          <w:color w:val="000000" w:themeColor="text1"/>
          <w:sz w:val="24"/>
          <w14:textFill>
            <w14:solidFill>
              <w14:schemeClr w14:val="tx1"/>
            </w14:solidFill>
          </w14:textFill>
        </w:rPr>
        <w:t>人，户数</w:t>
      </w:r>
      <w:r>
        <w:rPr>
          <w:rFonts w:hint="eastAsia" w:ascii="微软雅黑" w:hAnsi="微软雅黑" w:eastAsia="微软雅黑" w:cs="微软雅黑"/>
          <w:color w:val="000000" w:themeColor="text1"/>
          <w:sz w:val="24"/>
          <w:lang w:val="en-US" w:eastAsia="zh-CN"/>
          <w14:textFill>
            <w14:solidFill>
              <w14:schemeClr w14:val="tx1"/>
            </w14:solidFill>
          </w14:textFill>
        </w:rPr>
        <w:t>440</w:t>
      </w:r>
      <w:r>
        <w:rPr>
          <w:rFonts w:hint="eastAsia" w:ascii="微软雅黑" w:hAnsi="微软雅黑" w:eastAsia="微软雅黑" w:cs="微软雅黑"/>
          <w:color w:val="000000" w:themeColor="text1"/>
          <w:sz w:val="24"/>
          <w14:textFill>
            <w14:solidFill>
              <w14:schemeClr w14:val="tx1"/>
            </w14:solidFill>
          </w14:textFill>
        </w:rPr>
        <w:t>户，户均</w:t>
      </w:r>
      <w:r>
        <w:rPr>
          <w:rFonts w:hint="eastAsia" w:ascii="微软雅黑" w:hAnsi="微软雅黑" w:eastAsia="微软雅黑" w:cs="微软雅黑"/>
          <w:color w:val="000000" w:themeColor="text1"/>
          <w:sz w:val="24"/>
          <w:lang w:val="en-US" w:eastAsia="zh-CN"/>
          <w14:textFill>
            <w14:solidFill>
              <w14:schemeClr w14:val="tx1"/>
            </w14:solidFill>
          </w14:textFill>
        </w:rPr>
        <w:t>3.09</w:t>
      </w:r>
      <w:r>
        <w:rPr>
          <w:rFonts w:hint="eastAsia" w:ascii="微软雅黑" w:hAnsi="微软雅黑" w:eastAsia="微软雅黑" w:cs="微软雅黑"/>
          <w:color w:val="000000" w:themeColor="text1"/>
          <w:sz w:val="24"/>
          <w14:textFill>
            <w14:solidFill>
              <w14:schemeClr w14:val="tx1"/>
            </w14:solidFill>
          </w14:textFill>
        </w:rPr>
        <w:t>人。</w:t>
      </w:r>
    </w:p>
    <w:p>
      <w:pPr>
        <w:pStyle w:val="49"/>
        <w:spacing w:line="360" w:lineRule="auto"/>
        <w:ind w:firstLine="482"/>
        <w:rPr>
          <w:rFonts w:hint="eastAsia" w:ascii="微软雅黑" w:hAnsi="微软雅黑" w:eastAsia="微软雅黑" w:cs="微软雅黑"/>
          <w:sz w:val="24"/>
        </w:rPr>
      </w:pPr>
      <w:r>
        <w:rPr>
          <w:rFonts w:hint="eastAsia" w:ascii="微软雅黑" w:hAnsi="微软雅黑" w:eastAsia="微软雅黑" w:cs="微软雅黑"/>
          <w:b/>
          <w:sz w:val="24"/>
        </w:rPr>
        <w:t>常住人口</w:t>
      </w:r>
      <w:r>
        <w:rPr>
          <w:rFonts w:hint="eastAsia" w:ascii="微软雅黑" w:hAnsi="微软雅黑" w:eastAsia="微软雅黑" w:cs="微软雅黑"/>
          <w:b/>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14:textFill>
            <w14:solidFill>
              <w14:schemeClr w14:val="tx1"/>
            </w14:solidFill>
          </w14:textFill>
        </w:rPr>
        <w:t>截至</w:t>
      </w:r>
      <w:r>
        <w:rPr>
          <w:rFonts w:hint="eastAsia" w:ascii="微软雅黑" w:hAnsi="微软雅黑" w:eastAsia="微软雅黑" w:cs="微软雅黑"/>
          <w:sz w:val="24"/>
        </w:rPr>
        <w:t>20</w:t>
      </w:r>
      <w:r>
        <w:rPr>
          <w:rFonts w:hint="eastAsia" w:ascii="微软雅黑" w:hAnsi="微软雅黑" w:eastAsia="微软雅黑" w:cs="微软雅黑"/>
          <w:sz w:val="24"/>
          <w:lang w:val="en-US" w:eastAsia="zh-CN"/>
        </w:rPr>
        <w:t>20</w:t>
      </w:r>
      <w:r>
        <w:rPr>
          <w:rFonts w:hint="eastAsia" w:ascii="微软雅黑" w:hAnsi="微软雅黑" w:eastAsia="微软雅黑" w:cs="微软雅黑"/>
          <w:sz w:val="24"/>
        </w:rPr>
        <w:t>年</w:t>
      </w:r>
      <w:r>
        <w:rPr>
          <w:rFonts w:hint="eastAsia" w:ascii="微软雅黑" w:hAnsi="微软雅黑" w:eastAsia="微软雅黑" w:cs="微软雅黑"/>
          <w:color w:val="000000" w:themeColor="text1"/>
          <w:sz w:val="24"/>
          <w14:textFill>
            <w14:solidFill>
              <w14:schemeClr w14:val="tx1"/>
            </w14:solidFill>
          </w14:textFill>
        </w:rPr>
        <w:t>底，村内共有常住人口</w:t>
      </w:r>
      <w:r>
        <w:rPr>
          <w:rFonts w:hint="eastAsia" w:ascii="微软雅黑" w:hAnsi="微软雅黑" w:eastAsia="微软雅黑" w:cs="微软雅黑"/>
          <w:color w:val="000000" w:themeColor="text1"/>
          <w:sz w:val="24"/>
          <w:lang w:val="en-US" w:eastAsia="zh-CN"/>
          <w14:textFill>
            <w14:solidFill>
              <w14:schemeClr w14:val="tx1"/>
            </w14:solidFill>
          </w14:textFill>
        </w:rPr>
        <w:t>560</w:t>
      </w:r>
      <w:r>
        <w:rPr>
          <w:rFonts w:hint="eastAsia" w:ascii="微软雅黑" w:hAnsi="微软雅黑" w:eastAsia="微软雅黑" w:cs="微软雅黑"/>
          <w:color w:val="000000" w:themeColor="text1"/>
          <w:sz w:val="24"/>
          <w14:textFill>
            <w14:solidFill>
              <w14:schemeClr w14:val="tx1"/>
            </w14:solidFill>
          </w14:textFill>
        </w:rPr>
        <w:t>人</w:t>
      </w:r>
      <w:r>
        <w:rPr>
          <w:rFonts w:hint="eastAsia" w:ascii="微软雅黑" w:hAnsi="微软雅黑" w:eastAsia="微软雅黑" w:cs="微软雅黑"/>
          <w:color w:val="000000" w:themeColor="text1"/>
          <w:sz w:val="24"/>
          <w:lang w:eastAsia="zh-CN"/>
          <w14:textFill>
            <w14:solidFill>
              <w14:schemeClr w14:val="tx1"/>
            </w14:solidFill>
          </w14:textFill>
        </w:rPr>
        <w:t>，</w:t>
      </w:r>
      <w:r>
        <w:rPr>
          <w:rFonts w:hint="eastAsia" w:ascii="微软雅黑" w:hAnsi="微软雅黑" w:eastAsia="微软雅黑" w:cs="微软雅黑"/>
          <w:color w:val="auto"/>
          <w:sz w:val="24"/>
          <w:lang w:val="en-US" w:eastAsia="zh-CN"/>
        </w:rPr>
        <w:t>其中60岁以上常住人口333人。村内建档立卡贫困户人数140人</w:t>
      </w:r>
      <w:r>
        <w:rPr>
          <w:rFonts w:hint="eastAsia" w:ascii="微软雅黑" w:hAnsi="微软雅黑" w:eastAsia="微软雅黑" w:cs="微软雅黑"/>
          <w:color w:val="000000" w:themeColor="text1"/>
          <w:sz w:val="24"/>
          <w14:textFill>
            <w14:solidFill>
              <w14:schemeClr w14:val="tx1"/>
            </w14:solidFill>
          </w14:textFill>
        </w:rPr>
        <w:t>。</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b/>
          <w:sz w:val="24"/>
        </w:rPr>
        <w:t>人口流动：</w:t>
      </w:r>
      <w:r>
        <w:rPr>
          <w:rFonts w:hint="eastAsia" w:ascii="微软雅黑" w:hAnsi="微软雅黑" w:eastAsia="微软雅黑" w:cs="微软雅黑"/>
          <w:sz w:val="24"/>
        </w:rPr>
        <w:t>村内人口呈流出状态，净流出人口</w:t>
      </w:r>
      <w:r>
        <w:rPr>
          <w:rFonts w:hint="eastAsia" w:ascii="微软雅黑" w:hAnsi="微软雅黑" w:eastAsia="微软雅黑" w:cs="微软雅黑"/>
          <w:sz w:val="24"/>
          <w:lang w:val="en-US" w:eastAsia="zh-CN"/>
        </w:rPr>
        <w:t>806</w:t>
      </w:r>
      <w:r>
        <w:rPr>
          <w:rFonts w:hint="eastAsia" w:ascii="微软雅黑" w:hAnsi="微软雅黑" w:eastAsia="微软雅黑" w:cs="微软雅黑"/>
          <w:sz w:val="24"/>
        </w:rPr>
        <w:t>人，约占户籍人口的</w:t>
      </w:r>
      <w:r>
        <w:rPr>
          <w:rFonts w:hint="eastAsia" w:ascii="微软雅黑" w:hAnsi="微软雅黑" w:eastAsia="微软雅黑" w:cs="微软雅黑"/>
          <w:sz w:val="24"/>
          <w:lang w:val="en-US" w:eastAsia="zh-CN"/>
        </w:rPr>
        <w:t>59</w:t>
      </w:r>
      <w:r>
        <w:rPr>
          <w:rFonts w:hint="eastAsia" w:ascii="微软雅黑" w:hAnsi="微软雅黑" w:eastAsia="微软雅黑" w:cs="微软雅黑"/>
          <w:sz w:val="24"/>
        </w:rPr>
        <w:t>%，流出人口以外出打工为主</w:t>
      </w:r>
      <w:r>
        <w:rPr>
          <w:rFonts w:hint="eastAsia" w:ascii="微软雅黑" w:hAnsi="微软雅黑" w:eastAsia="微软雅黑" w:cs="微软雅黑"/>
          <w:sz w:val="24"/>
          <w:szCs w:val="24"/>
        </w:rPr>
        <w:t>。</w:t>
      </w:r>
    </w:p>
    <w:p>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 xml:space="preserve">第十二条 </w:t>
      </w:r>
      <w:r>
        <w:rPr>
          <w:rFonts w:hint="eastAsia" w:ascii="微软雅黑" w:hAnsi="微软雅黑" w:eastAsia="微软雅黑" w:cs="微软雅黑"/>
          <w:b/>
          <w:sz w:val="24"/>
          <w:szCs w:val="24"/>
          <w:lang w:eastAsia="zh-CN"/>
        </w:rPr>
        <w:t>骆马</w:t>
      </w:r>
      <w:r>
        <w:rPr>
          <w:rFonts w:hint="eastAsia" w:ascii="微软雅黑" w:hAnsi="微软雅黑" w:eastAsia="微软雅黑" w:cs="微软雅黑"/>
          <w:b/>
          <w:sz w:val="24"/>
          <w:szCs w:val="24"/>
        </w:rPr>
        <w:t>村总人口预测</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lang w:eastAsia="zh-CN"/>
        </w:rPr>
        <w:t>骆马村</w:t>
      </w:r>
      <w:r>
        <w:rPr>
          <w:rFonts w:hint="eastAsia" w:ascii="微软雅黑" w:hAnsi="微软雅黑" w:eastAsia="微软雅黑" w:cs="微软雅黑"/>
          <w:sz w:val="24"/>
        </w:rPr>
        <w:t>现状总人口</w:t>
      </w:r>
      <w:r>
        <w:rPr>
          <w:rFonts w:hint="eastAsia" w:ascii="微软雅黑" w:hAnsi="微软雅黑" w:eastAsia="微软雅黑" w:cs="微软雅黑"/>
          <w:sz w:val="24"/>
          <w:lang w:val="en-US" w:eastAsia="zh-CN"/>
        </w:rPr>
        <w:t>1366</w:t>
      </w:r>
      <w:r>
        <w:rPr>
          <w:rFonts w:hint="eastAsia" w:ascii="微软雅黑" w:hAnsi="微软雅黑" w:eastAsia="微软雅黑" w:cs="微软雅黑"/>
          <w:sz w:val="24"/>
        </w:rPr>
        <w:t>，根据历年人口的自然增长和农业剩余劳力的转移因素进行计算人口变化的情况，规划按综合平衡法计算总人口：</w:t>
      </w:r>
    </w:p>
    <w:p>
      <w:pPr>
        <w:spacing w:line="360" w:lineRule="auto"/>
        <w:ind w:firstLine="420"/>
        <w:jc w:val="center"/>
        <w:rPr>
          <w:rFonts w:hint="eastAsia" w:ascii="微软雅黑" w:hAnsi="微软雅黑" w:eastAsia="微软雅黑" w:cs="微软雅黑"/>
          <w:sz w:val="24"/>
        </w:rPr>
      </w:pPr>
      <w:r>
        <w:rPr>
          <w:rFonts w:hint="eastAsia" w:ascii="微软雅黑" w:hAnsi="微软雅黑" w:eastAsia="微软雅黑" w:cs="微软雅黑"/>
          <w:sz w:val="24"/>
        </w:rPr>
        <w:t>Q</w:t>
      </w:r>
      <w:r>
        <w:rPr>
          <w:rFonts w:hint="eastAsia" w:ascii="微软雅黑" w:hAnsi="微软雅黑" w:eastAsia="微软雅黑" w:cs="微软雅黑"/>
          <w:sz w:val="24"/>
          <w:vertAlign w:val="subscript"/>
        </w:rPr>
        <w:t>A</w:t>
      </w:r>
      <w:r>
        <w:rPr>
          <w:rFonts w:hint="eastAsia" w:ascii="微软雅黑" w:hAnsi="微软雅黑" w:eastAsia="微软雅黑" w:cs="微软雅黑"/>
          <w:sz w:val="24"/>
        </w:rPr>
        <w:t>=Q</w:t>
      </w:r>
      <w:r>
        <w:rPr>
          <w:rFonts w:hint="eastAsia" w:ascii="微软雅黑" w:hAnsi="微软雅黑" w:eastAsia="微软雅黑" w:cs="微软雅黑"/>
          <w:sz w:val="24"/>
          <w:vertAlign w:val="subscript"/>
        </w:rPr>
        <w:t>A0</w:t>
      </w:r>
      <w:r>
        <w:rPr>
          <w:rFonts w:hint="eastAsia" w:ascii="微软雅黑" w:hAnsi="微软雅黑" w:eastAsia="微软雅黑" w:cs="微软雅黑"/>
          <w:sz w:val="24"/>
        </w:rPr>
        <w:t>（1+K+P）</w:t>
      </w:r>
      <w:r>
        <w:rPr>
          <w:rFonts w:hint="eastAsia" w:ascii="微软雅黑" w:hAnsi="微软雅黑" w:eastAsia="微软雅黑" w:cs="微软雅黑"/>
          <w:sz w:val="24"/>
          <w:vertAlign w:val="superscript"/>
        </w:rPr>
        <w:t>N</w:t>
      </w:r>
    </w:p>
    <w:p>
      <w:pPr>
        <w:spacing w:line="360" w:lineRule="auto"/>
        <w:ind w:firstLine="480" w:firstLineChars="200"/>
        <w:jc w:val="left"/>
        <w:rPr>
          <w:rFonts w:hint="eastAsia" w:ascii="微软雅黑" w:hAnsi="微软雅黑" w:eastAsia="微软雅黑" w:cs="微软雅黑"/>
          <w:sz w:val="24"/>
        </w:rPr>
      </w:pPr>
      <w:r>
        <w:rPr>
          <w:rFonts w:hint="eastAsia" w:ascii="微软雅黑" w:hAnsi="微软雅黑" w:eastAsia="微软雅黑" w:cs="微软雅黑"/>
          <w:sz w:val="24"/>
        </w:rPr>
        <w:t xml:space="preserve">        式中，Q</w:t>
      </w:r>
      <w:r>
        <w:rPr>
          <w:rFonts w:hint="eastAsia" w:ascii="微软雅黑" w:hAnsi="微软雅黑" w:eastAsia="微软雅黑" w:cs="微软雅黑"/>
          <w:sz w:val="24"/>
          <w:vertAlign w:val="subscript"/>
        </w:rPr>
        <w:t>A</w:t>
      </w:r>
      <w:r>
        <w:rPr>
          <w:rFonts w:hint="eastAsia" w:ascii="微软雅黑" w:hAnsi="微软雅黑" w:eastAsia="微软雅黑" w:cs="微软雅黑"/>
          <w:sz w:val="24"/>
        </w:rPr>
        <w:t>——全村总人口发展规模预测数</w:t>
      </w:r>
    </w:p>
    <w:p>
      <w:pPr>
        <w:spacing w:line="360" w:lineRule="auto"/>
        <w:ind w:firstLine="1200" w:firstLineChars="500"/>
        <w:jc w:val="left"/>
        <w:rPr>
          <w:rFonts w:hint="eastAsia" w:ascii="微软雅黑" w:hAnsi="微软雅黑" w:eastAsia="微软雅黑" w:cs="微软雅黑"/>
          <w:sz w:val="24"/>
        </w:rPr>
      </w:pPr>
      <w:r>
        <w:rPr>
          <w:rFonts w:hint="eastAsia" w:ascii="微软雅黑" w:hAnsi="微软雅黑" w:eastAsia="微软雅黑" w:cs="微软雅黑"/>
          <w:sz w:val="24"/>
        </w:rPr>
        <w:t xml:space="preserve">        Q</w:t>
      </w:r>
      <w:r>
        <w:rPr>
          <w:rFonts w:hint="eastAsia" w:ascii="微软雅黑" w:hAnsi="微软雅黑" w:eastAsia="微软雅黑" w:cs="微软雅黑"/>
          <w:sz w:val="24"/>
          <w:vertAlign w:val="subscript"/>
        </w:rPr>
        <w:t>A0</w:t>
      </w:r>
      <w:r>
        <w:rPr>
          <w:rFonts w:hint="eastAsia" w:ascii="微软雅黑" w:hAnsi="微软雅黑" w:eastAsia="微软雅黑" w:cs="微软雅黑"/>
          <w:sz w:val="24"/>
        </w:rPr>
        <w:t>——现状人总人口</w:t>
      </w:r>
    </w:p>
    <w:p>
      <w:pPr>
        <w:spacing w:line="360" w:lineRule="auto"/>
        <w:ind w:firstLine="1200" w:firstLineChars="500"/>
        <w:jc w:val="left"/>
        <w:rPr>
          <w:rFonts w:hint="eastAsia" w:ascii="微软雅黑" w:hAnsi="微软雅黑" w:eastAsia="微软雅黑" w:cs="微软雅黑"/>
          <w:sz w:val="24"/>
        </w:rPr>
      </w:pPr>
      <w:r>
        <w:rPr>
          <w:rFonts w:hint="eastAsia" w:ascii="微软雅黑" w:hAnsi="微软雅黑" w:eastAsia="微软雅黑" w:cs="微软雅黑"/>
          <w:sz w:val="24"/>
        </w:rPr>
        <w:t xml:space="preserve">        K——规划期内年平均人口自然增长率</w:t>
      </w:r>
    </w:p>
    <w:p>
      <w:pPr>
        <w:spacing w:line="360" w:lineRule="auto"/>
        <w:ind w:firstLine="1200" w:firstLineChars="500"/>
        <w:jc w:val="left"/>
        <w:rPr>
          <w:rFonts w:hint="eastAsia" w:ascii="微软雅黑" w:hAnsi="微软雅黑" w:eastAsia="微软雅黑" w:cs="微软雅黑"/>
          <w:sz w:val="24"/>
        </w:rPr>
      </w:pPr>
      <w:r>
        <w:rPr>
          <w:rFonts w:hint="eastAsia" w:ascii="微软雅黑" w:hAnsi="微软雅黑" w:eastAsia="微软雅黑" w:cs="微软雅黑"/>
          <w:sz w:val="24"/>
        </w:rPr>
        <w:t xml:space="preserve">        P——年平均人口机械率</w:t>
      </w:r>
    </w:p>
    <w:p>
      <w:pPr>
        <w:spacing w:line="360" w:lineRule="auto"/>
        <w:ind w:firstLine="480" w:firstLineChars="200"/>
        <w:jc w:val="left"/>
        <w:rPr>
          <w:rFonts w:hint="eastAsia" w:ascii="微软雅黑" w:hAnsi="微软雅黑" w:eastAsia="微软雅黑" w:cs="微软雅黑"/>
          <w:sz w:val="24"/>
        </w:rPr>
      </w:pPr>
      <w:r>
        <w:rPr>
          <w:rFonts w:hint="eastAsia" w:ascii="微软雅黑" w:hAnsi="微软雅黑" w:eastAsia="微软雅黑" w:cs="微软雅黑"/>
          <w:sz w:val="24"/>
        </w:rPr>
        <w:t xml:space="preserve">              N——规划年限</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lang w:eastAsia="zh-CN"/>
        </w:rPr>
        <w:t>骆马村</w:t>
      </w:r>
      <w:r>
        <w:rPr>
          <w:rFonts w:hint="eastAsia" w:ascii="微软雅黑" w:hAnsi="微软雅黑" w:eastAsia="微软雅黑" w:cs="微软雅黑"/>
          <w:sz w:val="24"/>
        </w:rPr>
        <w:t>人口规模存在不确定性，科学的人口规模预测应该是具有一定幅度和弹性的值域，一般包括高、中、低三个系列。</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lang w:eastAsia="zh-CN"/>
        </w:rPr>
        <w:t>骆马村</w:t>
      </w:r>
      <w:r>
        <w:rPr>
          <w:rFonts w:hint="eastAsia" w:ascii="微软雅黑" w:hAnsi="微软雅黑" w:eastAsia="微软雅黑" w:cs="微软雅黑"/>
          <w:sz w:val="24"/>
        </w:rPr>
        <w:t>近5年平均人口自然增长率为</w:t>
      </w:r>
      <w:r>
        <w:rPr>
          <w:rFonts w:hint="eastAsia" w:ascii="微软雅黑" w:hAnsi="微软雅黑" w:eastAsia="微软雅黑" w:cs="微软雅黑"/>
          <w:sz w:val="24"/>
          <w:lang w:val="en-US" w:eastAsia="zh-CN"/>
        </w:rPr>
        <w:t>2.8</w:t>
      </w:r>
      <w:r>
        <w:rPr>
          <w:rFonts w:hint="eastAsia" w:ascii="微软雅黑" w:hAnsi="微软雅黑" w:eastAsia="微软雅黑" w:cs="微软雅黑"/>
          <w:sz w:val="24"/>
        </w:rPr>
        <w:t>‰（五普资料），平均常年外出务工未归人数与总人数的比例-</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%作为年均人口机械增长率。</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1、高方案：</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规划</w:t>
      </w:r>
      <w:r>
        <w:rPr>
          <w:rFonts w:hint="eastAsia" w:ascii="微软雅黑" w:hAnsi="微软雅黑" w:eastAsia="微软雅黑" w:cs="微软雅黑"/>
          <w:sz w:val="24"/>
          <w:lang w:eastAsia="zh-CN"/>
        </w:rPr>
        <w:t>近期至202</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lang w:eastAsia="zh-CN"/>
        </w:rPr>
        <w:t>年</w:t>
      </w:r>
      <w:r>
        <w:rPr>
          <w:rFonts w:hint="eastAsia" w:ascii="微软雅黑" w:hAnsi="微软雅黑" w:eastAsia="微软雅黑" w:cs="微软雅黑"/>
          <w:sz w:val="24"/>
        </w:rPr>
        <w:t>，</w:t>
      </w:r>
      <w:r>
        <w:rPr>
          <w:rFonts w:hint="eastAsia" w:ascii="微软雅黑" w:hAnsi="微软雅黑" w:eastAsia="微软雅黑" w:cs="微软雅黑"/>
          <w:sz w:val="24"/>
          <w:lang w:eastAsia="zh-CN"/>
        </w:rPr>
        <w:t>由于二孩政策全面放开，规划</w:t>
      </w:r>
      <w:r>
        <w:rPr>
          <w:rFonts w:hint="eastAsia" w:ascii="微软雅黑" w:hAnsi="微软雅黑" w:eastAsia="微软雅黑" w:cs="微软雅黑"/>
          <w:sz w:val="24"/>
        </w:rPr>
        <w:t>人口年均自然增长率</w:t>
      </w:r>
      <w:r>
        <w:rPr>
          <w:rFonts w:hint="eastAsia" w:ascii="微软雅黑" w:hAnsi="微软雅黑" w:eastAsia="微软雅黑" w:cs="微软雅黑"/>
          <w:sz w:val="24"/>
          <w:lang w:eastAsia="zh-CN"/>
        </w:rPr>
        <w:t>提高至</w:t>
      </w: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‰，年均人口机械增长率维持在-</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%左右。</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lang w:eastAsia="zh-CN"/>
        </w:rPr>
        <w:t>近期至202</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lang w:eastAsia="zh-CN"/>
        </w:rPr>
        <w:t>年</w:t>
      </w:r>
      <w:r>
        <w:rPr>
          <w:rFonts w:hint="eastAsia" w:ascii="微软雅黑" w:hAnsi="微软雅黑" w:eastAsia="微软雅黑" w:cs="微软雅黑"/>
          <w:sz w:val="24"/>
        </w:rPr>
        <w:t>，总人口：</w:t>
      </w:r>
      <w:r>
        <w:rPr>
          <w:rFonts w:hint="eastAsia" w:ascii="微软雅黑" w:hAnsi="微软雅黑" w:eastAsia="微软雅黑" w:cs="微软雅黑"/>
          <w:sz w:val="24"/>
          <w:lang w:val="en-US" w:eastAsia="zh-CN"/>
        </w:rPr>
        <w:t>1366</w:t>
      </w:r>
      <w:r>
        <w:rPr>
          <w:rFonts w:hint="eastAsia" w:ascii="微软雅黑" w:hAnsi="微软雅黑" w:eastAsia="微软雅黑" w:cs="微软雅黑"/>
          <w:sz w:val="24"/>
        </w:rPr>
        <w:t>×（1+</w:t>
      </w: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w:t>
      </w:r>
      <w:r>
        <w:rPr>
          <w:rFonts w:hint="eastAsia" w:ascii="微软雅黑" w:hAnsi="微软雅黑" w:eastAsia="微软雅黑" w:cs="微软雅黑"/>
          <w:sz w:val="24"/>
          <w:vertAlign w:val="superscript"/>
          <w:lang w:val="en-US" w:eastAsia="zh-CN"/>
        </w:rPr>
        <w:t>5</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1197</w:t>
      </w:r>
      <w:r>
        <w:rPr>
          <w:rFonts w:hint="eastAsia" w:ascii="微软雅黑" w:hAnsi="微软雅黑" w:eastAsia="微软雅黑" w:cs="微软雅黑"/>
          <w:sz w:val="24"/>
        </w:rPr>
        <w:t xml:space="preserve">人    </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2、低方案：</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未来</w:t>
      </w:r>
      <w:r>
        <w:rPr>
          <w:rFonts w:hint="eastAsia" w:ascii="微软雅黑" w:hAnsi="微软雅黑" w:eastAsia="微软雅黑" w:cs="微软雅黑"/>
          <w:sz w:val="24"/>
          <w:lang w:eastAsia="zh-CN"/>
        </w:rPr>
        <w:t>城区</w:t>
      </w:r>
      <w:r>
        <w:rPr>
          <w:rFonts w:hint="eastAsia" w:ascii="微软雅黑" w:hAnsi="微软雅黑" w:eastAsia="微软雅黑" w:cs="微软雅黑"/>
          <w:sz w:val="24"/>
        </w:rPr>
        <w:t>聚集能力加强，村人口外流进一步加大。规划</w:t>
      </w:r>
      <w:r>
        <w:rPr>
          <w:rFonts w:hint="eastAsia" w:ascii="微软雅黑" w:hAnsi="微软雅黑" w:eastAsia="微软雅黑" w:cs="微软雅黑"/>
          <w:sz w:val="24"/>
          <w:lang w:eastAsia="zh-CN"/>
        </w:rPr>
        <w:t>近期至202</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lang w:eastAsia="zh-CN"/>
        </w:rPr>
        <w:t>年</w:t>
      </w:r>
      <w:r>
        <w:rPr>
          <w:rFonts w:hint="eastAsia" w:ascii="微软雅黑" w:hAnsi="微软雅黑" w:eastAsia="微软雅黑" w:cs="微软雅黑"/>
          <w:sz w:val="24"/>
        </w:rPr>
        <w:t>，人口年均自然增长率在</w:t>
      </w:r>
      <w:r>
        <w:rPr>
          <w:rFonts w:hint="eastAsia" w:ascii="微软雅黑" w:hAnsi="微软雅黑" w:eastAsia="微软雅黑" w:cs="微软雅黑"/>
          <w:sz w:val="24"/>
          <w:lang w:val="en-US" w:eastAsia="zh-CN"/>
        </w:rPr>
        <w:t>2.8</w:t>
      </w:r>
      <w:r>
        <w:rPr>
          <w:rFonts w:hint="eastAsia" w:ascii="微软雅黑" w:hAnsi="微软雅黑" w:eastAsia="微软雅黑" w:cs="微软雅黑"/>
          <w:sz w:val="24"/>
        </w:rPr>
        <w:t>‰，年均人口机械增长率维持在-4%左右。</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lang w:eastAsia="zh-CN"/>
        </w:rPr>
        <w:t>近期至202</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lang w:eastAsia="zh-CN"/>
        </w:rPr>
        <w:t>年</w:t>
      </w:r>
      <w:r>
        <w:rPr>
          <w:rFonts w:hint="eastAsia" w:ascii="微软雅黑" w:hAnsi="微软雅黑" w:eastAsia="微软雅黑" w:cs="微软雅黑"/>
          <w:sz w:val="24"/>
        </w:rPr>
        <w:t>，总人口：</w:t>
      </w:r>
      <w:r>
        <w:rPr>
          <w:rFonts w:hint="eastAsia" w:ascii="微软雅黑" w:hAnsi="微软雅黑" w:eastAsia="微软雅黑" w:cs="微软雅黑"/>
          <w:sz w:val="24"/>
          <w:lang w:val="en-US" w:eastAsia="zh-CN"/>
        </w:rPr>
        <w:t>1366</w:t>
      </w:r>
      <w:r>
        <w:rPr>
          <w:rFonts w:hint="eastAsia" w:ascii="微软雅黑" w:hAnsi="微软雅黑" w:eastAsia="微软雅黑" w:cs="微软雅黑"/>
          <w:sz w:val="24"/>
        </w:rPr>
        <w:t>×（1+2.</w:t>
      </w:r>
      <w:r>
        <w:rPr>
          <w:rFonts w:hint="eastAsia" w:ascii="微软雅黑" w:hAnsi="微软雅黑" w:eastAsia="微软雅黑" w:cs="微软雅黑"/>
          <w:sz w:val="24"/>
          <w:lang w:val="en-US" w:eastAsia="zh-CN"/>
        </w:rPr>
        <w:t>8</w:t>
      </w:r>
      <w:r>
        <w:rPr>
          <w:rFonts w:hint="eastAsia" w:ascii="微软雅黑" w:hAnsi="微软雅黑" w:eastAsia="微软雅黑" w:cs="微软雅黑"/>
          <w:sz w:val="24"/>
        </w:rPr>
        <w:t>‰-4%）</w:t>
      </w:r>
      <w:r>
        <w:rPr>
          <w:rFonts w:hint="eastAsia" w:ascii="微软雅黑" w:hAnsi="微软雅黑" w:eastAsia="微软雅黑" w:cs="微软雅黑"/>
          <w:sz w:val="24"/>
          <w:vertAlign w:val="superscript"/>
          <w:lang w:val="en-US" w:eastAsia="zh-CN"/>
        </w:rPr>
        <w:t>5</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1130</w:t>
      </w:r>
      <w:r>
        <w:rPr>
          <w:rFonts w:hint="eastAsia" w:ascii="微软雅黑" w:hAnsi="微软雅黑" w:eastAsia="微软雅黑" w:cs="微软雅黑"/>
          <w:sz w:val="24"/>
        </w:rPr>
        <w:t xml:space="preserve">人    </w:t>
      </w:r>
    </w:p>
    <w:p>
      <w:pPr>
        <w:spacing w:line="360" w:lineRule="auto"/>
        <w:ind w:firstLine="480" w:firstLineChars="200"/>
        <w:rPr>
          <w:rFonts w:hint="eastAsia" w:ascii="微软雅黑" w:hAnsi="微软雅黑" w:eastAsia="微软雅黑" w:cs="微软雅黑"/>
          <w:b/>
          <w:sz w:val="24"/>
        </w:rPr>
      </w:pPr>
      <w:r>
        <w:rPr>
          <w:rFonts w:hint="eastAsia" w:ascii="微软雅黑" w:hAnsi="微软雅黑" w:eastAsia="微软雅黑" w:cs="微软雅黑"/>
          <w:sz w:val="24"/>
        </w:rPr>
        <w:t>3、中方案：</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lang w:eastAsia="zh-CN"/>
        </w:rPr>
        <w:t>近期至202</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lang w:eastAsia="zh-CN"/>
        </w:rPr>
        <w:t>年</w:t>
      </w:r>
      <w:r>
        <w:rPr>
          <w:rFonts w:hint="eastAsia" w:ascii="微软雅黑" w:hAnsi="微软雅黑" w:eastAsia="微软雅黑" w:cs="微软雅黑"/>
          <w:sz w:val="24"/>
        </w:rPr>
        <w:t>，总人口居高方案与低方案之间，取</w:t>
      </w:r>
      <w:r>
        <w:rPr>
          <w:rFonts w:hint="eastAsia" w:ascii="微软雅黑" w:hAnsi="微软雅黑" w:eastAsia="微软雅黑" w:cs="微软雅黑"/>
          <w:sz w:val="24"/>
          <w:lang w:val="en-US" w:eastAsia="zh-CN"/>
        </w:rPr>
        <w:t>1160</w:t>
      </w:r>
      <w:r>
        <w:rPr>
          <w:rFonts w:hint="eastAsia" w:ascii="微软雅黑" w:hAnsi="微软雅黑" w:eastAsia="微软雅黑" w:cs="微软雅黑"/>
          <w:sz w:val="24"/>
        </w:rPr>
        <w:t>人。</w:t>
      </w:r>
    </w:p>
    <w:p>
      <w:pPr>
        <w:spacing w:line="360" w:lineRule="auto"/>
        <w:jc w:val="center"/>
        <w:outlineLvl w:val="0"/>
        <w:rPr>
          <w:rFonts w:hint="eastAsia" w:ascii="微软雅黑" w:hAnsi="微软雅黑" w:eastAsia="微软雅黑" w:cs="微软雅黑"/>
          <w:b/>
          <w:color w:val="auto"/>
          <w:sz w:val="28"/>
          <w:szCs w:val="24"/>
        </w:rPr>
      </w:pPr>
      <w:bookmarkStart w:id="7" w:name="_Toc19363"/>
      <w:bookmarkStart w:id="8" w:name="_Toc488239683"/>
      <w:r>
        <w:rPr>
          <w:rFonts w:hint="eastAsia" w:ascii="微软雅黑" w:hAnsi="微软雅黑" w:eastAsia="微软雅黑" w:cs="微软雅黑"/>
          <w:b/>
          <w:color w:val="auto"/>
          <w:sz w:val="28"/>
          <w:szCs w:val="24"/>
        </w:rPr>
        <w:t>第三章 村域</w:t>
      </w:r>
      <w:r>
        <w:rPr>
          <w:rFonts w:hint="eastAsia" w:ascii="微软雅黑" w:hAnsi="微软雅黑" w:eastAsia="微软雅黑" w:cs="微软雅黑"/>
          <w:b/>
          <w:color w:val="auto"/>
          <w:sz w:val="28"/>
          <w:szCs w:val="24"/>
          <w:lang w:eastAsia="zh-CN"/>
        </w:rPr>
        <w:t>“三生三线”规划</w:t>
      </w:r>
      <w:r>
        <w:rPr>
          <w:rFonts w:hint="eastAsia" w:ascii="微软雅黑" w:hAnsi="微软雅黑" w:eastAsia="微软雅黑" w:cs="微软雅黑"/>
          <w:b/>
          <w:color w:val="auto"/>
          <w:sz w:val="28"/>
          <w:szCs w:val="24"/>
        </w:rPr>
        <w:t>及相关控制要求</w:t>
      </w:r>
      <w:bookmarkEnd w:id="7"/>
      <w:bookmarkEnd w:id="8"/>
    </w:p>
    <w:p>
      <w:pPr>
        <w:spacing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第十三条 村域空间功能布局</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骆马村“三生空间”包括生产空间、生活空间、生态空间，“三线”仅涉及永久基本农田保护线。</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1、生产空间</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采用现有资料和技术手段分析，明确适合产业发展的区域，以生产为主导功能，用地类型主要包括：耕地、园地、牧草地、其他农用地（设施农用地、坑塘水面、农田水利用地等）、采矿用地、村产业用地、风景名胜设施用地等用地范围。</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骆马村规划生产空间面积为207.95公顷，其中，耕地面积117.84公顷，园地面积61.14公顷，其它农用地面积28.97公顷。</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2、生活空间</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主要包括农村居民点用地、交通水利用地、其他独立建设用地、依据规划需增加的乡村建设用地（包括按标准和需求应设置的村公共服务设施、村基础设施等）及预留的弹性空间等范围。</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骆马村规划生活空间面积为20.05公顷。</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3、生态空间</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村域内生态敏感度高应严格保护和发挥重要生态功能的区域。主要包括各类法律法规规定的保护范围，经依法批准的相关规划划定的特殊管控区范围以及其他生态资源范围等，如自然保护区、风景名胜区、森林公园、湿地公园、地质公园、自然遗产、“四山”禁建区、城镇饮用水源及其保护区、河湖水库、II级以上林地、郁闭度大于0.7的林地（经济林除外）、除农业空间外的地质灾害高易发区、美丽山水规划确定需要保护的范围、生态恢复区（包括其他林地等）等用地范围。</w:t>
      </w:r>
    </w:p>
    <w:p>
      <w:pPr>
        <w:spacing w:line="360" w:lineRule="auto"/>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lang w:val="en-US" w:eastAsia="zh-CN"/>
        </w:rPr>
        <w:t>骆马村规划生态空间面积为138.26公顷</w:t>
      </w:r>
      <w:r>
        <w:rPr>
          <w:rFonts w:hint="eastAsia" w:ascii="微软雅黑" w:hAnsi="微软雅黑" w:eastAsia="微软雅黑" w:cs="微软雅黑"/>
          <w:color w:val="000000" w:themeColor="text1"/>
          <w:sz w:val="24"/>
          <w:szCs w:val="24"/>
          <w14:textFill>
            <w14:solidFill>
              <w14:schemeClr w14:val="tx1"/>
            </w14:solidFill>
          </w14:textFill>
        </w:rPr>
        <w:t>。</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上述三类空间具体见附表一。</w:t>
      </w:r>
    </w:p>
    <w:p>
      <w:pPr>
        <w:spacing w:line="360" w:lineRule="auto"/>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rPr>
        <w:t xml:space="preserve">第十四条 </w:t>
      </w:r>
      <w:r>
        <w:rPr>
          <w:rFonts w:hint="eastAsia" w:ascii="微软雅黑" w:hAnsi="微软雅黑" w:eastAsia="微软雅黑" w:cs="微软雅黑"/>
          <w:b/>
          <w:sz w:val="24"/>
          <w:szCs w:val="24"/>
          <w:lang w:eastAsia="zh-CN"/>
        </w:rPr>
        <w:t>“三线”范围划定</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1、生态保护红线</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梁平区生态保护红线主要集中在明月山、高梁山、印屏山范围，骆马村不涉及生态保护红线。</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2、永久基本农田保护红线</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根据区规划和自然资源局提供的最新土地利用规划成果，骆马村内涉及永久基本农田保护区面积104.39公顷，分布于村内各处。</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3、城镇开发边界</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根据《梁平区石安镇总体规划（2010-2030年）》确定的城镇开发边界，骆马村不涉及石安镇城镇开发边界。</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w:t>
      </w:r>
      <w:r>
        <w:rPr>
          <w:rFonts w:hint="eastAsia" w:ascii="微软雅黑" w:hAnsi="微软雅黑" w:eastAsia="微软雅黑" w:cs="微软雅黑"/>
          <w:b/>
          <w:sz w:val="24"/>
          <w:szCs w:val="24"/>
          <w:lang w:eastAsia="zh-CN"/>
        </w:rPr>
        <w:t>五</w:t>
      </w:r>
      <w:r>
        <w:rPr>
          <w:rFonts w:hint="eastAsia" w:ascii="微软雅黑" w:hAnsi="微软雅黑" w:eastAsia="微软雅黑" w:cs="微软雅黑"/>
          <w:b/>
          <w:sz w:val="24"/>
          <w:szCs w:val="24"/>
        </w:rPr>
        <w:t>条 村域空间管制要求</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1、禁建区划定</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骆马村</w:t>
      </w:r>
      <w:r>
        <w:rPr>
          <w:rFonts w:hint="eastAsia" w:ascii="微软雅黑" w:hAnsi="微软雅黑" w:eastAsia="微软雅黑" w:cs="微软雅黑"/>
          <w:sz w:val="24"/>
          <w:szCs w:val="24"/>
        </w:rPr>
        <w:t>禁建区由基本农田保护区</w:t>
      </w:r>
      <w:r>
        <w:rPr>
          <w:rFonts w:hint="eastAsia" w:ascii="微软雅黑" w:hAnsi="微软雅黑" w:eastAsia="微软雅黑" w:cs="微软雅黑"/>
          <w:sz w:val="24"/>
          <w:szCs w:val="24"/>
          <w:lang w:eastAsia="zh-CN"/>
        </w:rPr>
        <w:t>和“四山”管制区禁建区</w:t>
      </w:r>
      <w:r>
        <w:rPr>
          <w:rFonts w:hint="eastAsia" w:ascii="微软雅黑" w:hAnsi="微软雅黑" w:eastAsia="微软雅黑" w:cs="微软雅黑"/>
          <w:sz w:val="24"/>
          <w:szCs w:val="24"/>
        </w:rPr>
        <w:t>组成。</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w:t>
      </w:r>
      <w:r>
        <w:rPr>
          <w:rFonts w:hint="eastAsia" w:ascii="微软雅黑" w:hAnsi="微软雅黑" w:eastAsia="微软雅黑" w:cs="微软雅黑"/>
          <w:sz w:val="24"/>
          <w:szCs w:val="24"/>
          <w:lang w:eastAsia="zh-CN"/>
        </w:rPr>
        <w:t>相关要求规定，</w:t>
      </w:r>
      <w:r>
        <w:rPr>
          <w:rFonts w:hint="eastAsia" w:ascii="微软雅黑" w:hAnsi="微软雅黑" w:eastAsia="微软雅黑" w:cs="微软雅黑"/>
          <w:sz w:val="24"/>
          <w:szCs w:val="24"/>
        </w:rPr>
        <w:t>基本农田保护范围</w:t>
      </w:r>
      <w:r>
        <w:rPr>
          <w:rFonts w:hint="eastAsia" w:ascii="微软雅黑" w:hAnsi="微软雅黑" w:eastAsia="微软雅黑" w:cs="微软雅黑"/>
          <w:sz w:val="24"/>
          <w:szCs w:val="24"/>
          <w:lang w:eastAsia="zh-CN"/>
        </w:rPr>
        <w:t>和“四山”管制区禁建区</w:t>
      </w:r>
      <w:r>
        <w:rPr>
          <w:rFonts w:hint="eastAsia" w:ascii="微软雅黑" w:hAnsi="微软雅黑" w:eastAsia="微软雅黑" w:cs="微软雅黑"/>
          <w:sz w:val="24"/>
          <w:szCs w:val="24"/>
        </w:rPr>
        <w:t>内禁止建设活动，已建农村居民点和产业用地应逐步退出。</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2、限建区划定</w:t>
      </w:r>
    </w:p>
    <w:p>
      <w:pPr>
        <w:pStyle w:val="49"/>
        <w:spacing w:line="360" w:lineRule="auto"/>
        <w:ind w:firstLine="480"/>
        <w:rPr>
          <w:rFonts w:hint="eastAsia" w:ascii="微软雅黑" w:hAnsi="微软雅黑" w:eastAsia="微软雅黑" w:cs="微软雅黑"/>
          <w:sz w:val="24"/>
        </w:rPr>
      </w:pPr>
      <w:r>
        <w:rPr>
          <w:rFonts w:hint="eastAsia" w:ascii="微软雅黑" w:hAnsi="微软雅黑" w:eastAsia="微软雅黑" w:cs="微软雅黑"/>
          <w:sz w:val="24"/>
          <w:szCs w:val="24"/>
        </w:rPr>
        <w:t>结合</w:t>
      </w:r>
      <w:r>
        <w:rPr>
          <w:rFonts w:hint="eastAsia" w:ascii="微软雅黑" w:hAnsi="微软雅黑" w:eastAsia="微软雅黑" w:cs="微软雅黑"/>
          <w:sz w:val="24"/>
          <w:szCs w:val="24"/>
          <w:lang w:eastAsia="zh-CN"/>
        </w:rPr>
        <w:t>骆马村</w:t>
      </w:r>
      <w:r>
        <w:rPr>
          <w:rFonts w:hint="eastAsia" w:ascii="微软雅黑" w:hAnsi="微软雅黑" w:eastAsia="微软雅黑" w:cs="微软雅黑"/>
          <w:sz w:val="24"/>
          <w:szCs w:val="24"/>
        </w:rPr>
        <w:t>村域现状、整合各行业部门数据资料，</w:t>
      </w:r>
      <w:r>
        <w:rPr>
          <w:rFonts w:hint="eastAsia" w:ascii="微软雅黑" w:hAnsi="微软雅黑" w:eastAsia="微软雅黑" w:cs="微软雅黑"/>
          <w:sz w:val="24"/>
          <w:szCs w:val="24"/>
          <w:lang w:eastAsia="zh-CN"/>
        </w:rPr>
        <w:t>骆马村</w:t>
      </w:r>
      <w:r>
        <w:rPr>
          <w:rFonts w:hint="eastAsia" w:ascii="微软雅黑" w:hAnsi="微软雅黑" w:eastAsia="微软雅黑" w:cs="微软雅黑"/>
          <w:sz w:val="24"/>
          <w:szCs w:val="24"/>
        </w:rPr>
        <w:t>乡村建设的限制因素主要包括水系周边土地保护范围、坡度25%以上区域。各类限制要素的相关管控要求根据相关规定执行。</w:t>
      </w:r>
    </w:p>
    <w:p>
      <w:pPr>
        <w:spacing w:line="360" w:lineRule="auto"/>
        <w:jc w:val="center"/>
        <w:outlineLvl w:val="0"/>
        <w:rPr>
          <w:rFonts w:hint="eastAsia" w:ascii="微软雅黑" w:hAnsi="微软雅黑" w:eastAsia="微软雅黑" w:cs="微软雅黑"/>
          <w:b/>
          <w:color w:val="000000"/>
          <w:sz w:val="28"/>
          <w:szCs w:val="24"/>
        </w:rPr>
      </w:pPr>
      <w:bookmarkStart w:id="9" w:name="_Toc3574"/>
      <w:bookmarkStart w:id="10" w:name="_Toc488239684"/>
      <w:r>
        <w:rPr>
          <w:rFonts w:hint="eastAsia" w:ascii="微软雅黑" w:hAnsi="微软雅黑" w:eastAsia="微软雅黑" w:cs="微软雅黑"/>
          <w:b/>
          <w:color w:val="000000"/>
          <w:sz w:val="28"/>
          <w:szCs w:val="24"/>
        </w:rPr>
        <w:t>第四章 村域土地利用规划</w:t>
      </w:r>
      <w:bookmarkEnd w:id="9"/>
      <w:bookmarkEnd w:id="10"/>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w:t>
      </w:r>
      <w:r>
        <w:rPr>
          <w:rFonts w:hint="eastAsia" w:ascii="微软雅黑" w:hAnsi="微软雅黑" w:eastAsia="微软雅黑" w:cs="微软雅黑"/>
          <w:b/>
          <w:sz w:val="24"/>
          <w:szCs w:val="24"/>
          <w:lang w:eastAsia="zh-CN"/>
        </w:rPr>
        <w:t>六</w:t>
      </w:r>
      <w:r>
        <w:rPr>
          <w:rFonts w:hint="eastAsia" w:ascii="微软雅黑" w:hAnsi="微软雅黑" w:eastAsia="微软雅黑" w:cs="微软雅黑"/>
          <w:b/>
          <w:sz w:val="24"/>
          <w:szCs w:val="24"/>
        </w:rPr>
        <w:t>条 村域土地利用现状</w:t>
      </w:r>
    </w:p>
    <w:p>
      <w:pPr>
        <w:pStyle w:val="49"/>
        <w:spacing w:line="360" w:lineRule="auto"/>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根据重庆市</w:t>
      </w:r>
      <w:r>
        <w:rPr>
          <w:rFonts w:hint="eastAsia" w:ascii="微软雅黑" w:hAnsi="微软雅黑" w:eastAsia="微软雅黑" w:cs="微软雅黑"/>
          <w:color w:val="auto"/>
          <w:sz w:val="24"/>
          <w:szCs w:val="24"/>
          <w:lang w:eastAsia="zh-CN"/>
        </w:rPr>
        <w:t>梁平区</w:t>
      </w:r>
      <w:r>
        <w:rPr>
          <w:rFonts w:hint="eastAsia" w:ascii="微软雅黑" w:hAnsi="微软雅黑" w:eastAsia="微软雅黑" w:cs="微软雅黑"/>
          <w:color w:val="auto"/>
          <w:sz w:val="24"/>
          <w:szCs w:val="24"/>
        </w:rPr>
        <w:t>201</w:t>
      </w:r>
      <w:r>
        <w:rPr>
          <w:rFonts w:hint="eastAsia" w:ascii="微软雅黑" w:hAnsi="微软雅黑" w:eastAsia="微软雅黑" w:cs="微软雅黑"/>
          <w:color w:val="auto"/>
          <w:sz w:val="24"/>
          <w:szCs w:val="24"/>
          <w:lang w:val="en-US" w:eastAsia="zh-CN"/>
        </w:rPr>
        <w:t>7</w:t>
      </w:r>
      <w:r>
        <w:rPr>
          <w:rFonts w:hint="eastAsia" w:ascii="微软雅黑" w:hAnsi="微软雅黑" w:eastAsia="微软雅黑" w:cs="微软雅黑"/>
          <w:color w:val="auto"/>
          <w:sz w:val="24"/>
          <w:szCs w:val="24"/>
        </w:rPr>
        <w:t>年土地利用变更调查的地类图斑数据，进行GIS面积计算，</w:t>
      </w:r>
      <w:r>
        <w:rPr>
          <w:rFonts w:hint="eastAsia" w:ascii="微软雅黑" w:hAnsi="微软雅黑" w:eastAsia="微软雅黑" w:cs="微软雅黑"/>
          <w:color w:val="auto"/>
          <w:sz w:val="24"/>
          <w:szCs w:val="24"/>
          <w:lang w:eastAsia="zh-CN"/>
        </w:rPr>
        <w:t>骆马村</w:t>
      </w:r>
      <w:r>
        <w:rPr>
          <w:rFonts w:hint="eastAsia" w:ascii="微软雅黑" w:hAnsi="微软雅黑" w:eastAsia="微软雅黑" w:cs="微软雅黑"/>
          <w:color w:val="auto"/>
          <w:sz w:val="24"/>
          <w:szCs w:val="24"/>
        </w:rPr>
        <w:t>现状用地类型主要为耕地和林地。</w:t>
      </w:r>
    </w:p>
    <w:p>
      <w:pPr>
        <w:pStyle w:val="49"/>
        <w:spacing w:line="360" w:lineRule="auto"/>
        <w:ind w:firstLine="480"/>
        <w:rPr>
          <w:rFonts w:hint="default"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rPr>
        <w:t>耕地面积约</w:t>
      </w:r>
      <w:r>
        <w:rPr>
          <w:rFonts w:hint="eastAsia" w:ascii="微软雅黑" w:hAnsi="微软雅黑" w:eastAsia="微软雅黑" w:cs="微软雅黑"/>
          <w:color w:val="auto"/>
          <w:sz w:val="24"/>
          <w:szCs w:val="24"/>
          <w:lang w:val="en-US" w:eastAsia="zh-CN"/>
        </w:rPr>
        <w:t>166.78</w:t>
      </w:r>
      <w:r>
        <w:rPr>
          <w:rFonts w:hint="eastAsia" w:ascii="微软雅黑" w:hAnsi="微软雅黑" w:eastAsia="微软雅黑" w:cs="微软雅黑"/>
          <w:color w:val="auto"/>
          <w:sz w:val="24"/>
          <w:szCs w:val="24"/>
        </w:rPr>
        <w:t>公顷，占全村面积的</w:t>
      </w:r>
      <w:r>
        <w:rPr>
          <w:rFonts w:hint="eastAsia" w:ascii="微软雅黑" w:hAnsi="微软雅黑" w:eastAsia="微软雅黑" w:cs="微软雅黑"/>
          <w:color w:val="auto"/>
          <w:sz w:val="24"/>
          <w:szCs w:val="24"/>
          <w:lang w:val="en-US" w:eastAsia="zh-CN"/>
        </w:rPr>
        <w:t>45.54</w:t>
      </w:r>
      <w:r>
        <w:rPr>
          <w:rFonts w:hint="eastAsia" w:ascii="微软雅黑" w:hAnsi="微软雅黑" w:eastAsia="微软雅黑" w:cs="微软雅黑"/>
          <w:color w:val="auto"/>
          <w:sz w:val="24"/>
          <w:szCs w:val="24"/>
        </w:rPr>
        <w:t>%，在</w:t>
      </w:r>
      <w:r>
        <w:rPr>
          <w:rFonts w:hint="eastAsia" w:ascii="微软雅黑" w:hAnsi="微软雅黑" w:eastAsia="微软雅黑" w:cs="微软雅黑"/>
          <w:color w:val="auto"/>
          <w:sz w:val="24"/>
          <w:szCs w:val="24"/>
          <w:lang w:eastAsia="zh-CN"/>
        </w:rPr>
        <w:t>全</w:t>
      </w:r>
      <w:r>
        <w:rPr>
          <w:rFonts w:hint="eastAsia" w:ascii="微软雅黑" w:hAnsi="微软雅黑" w:eastAsia="微软雅黑" w:cs="微软雅黑"/>
          <w:color w:val="auto"/>
          <w:sz w:val="24"/>
          <w:szCs w:val="24"/>
        </w:rPr>
        <w:t>村域较大面积的分布；林地面积约</w:t>
      </w:r>
      <w:r>
        <w:rPr>
          <w:rFonts w:hint="eastAsia" w:ascii="微软雅黑" w:hAnsi="微软雅黑" w:eastAsia="微软雅黑" w:cs="微软雅黑"/>
          <w:color w:val="auto"/>
          <w:sz w:val="24"/>
          <w:szCs w:val="24"/>
          <w:lang w:val="en-US" w:eastAsia="zh-CN"/>
        </w:rPr>
        <w:t>138.17</w:t>
      </w:r>
      <w:r>
        <w:rPr>
          <w:rFonts w:hint="eastAsia" w:ascii="微软雅黑" w:hAnsi="微软雅黑" w:eastAsia="微软雅黑" w:cs="微软雅黑"/>
          <w:color w:val="auto"/>
          <w:sz w:val="24"/>
          <w:szCs w:val="24"/>
        </w:rPr>
        <w:t>公顷，占全村面积的</w:t>
      </w:r>
      <w:r>
        <w:rPr>
          <w:rFonts w:hint="eastAsia" w:ascii="微软雅黑" w:hAnsi="微软雅黑" w:eastAsia="微软雅黑" w:cs="微软雅黑"/>
          <w:color w:val="auto"/>
          <w:sz w:val="24"/>
          <w:szCs w:val="24"/>
          <w:lang w:val="en-US" w:eastAsia="zh-CN"/>
        </w:rPr>
        <w:t>37.72</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主要集中于村域中部。</w:t>
      </w:r>
    </w:p>
    <w:p>
      <w:pPr>
        <w:pStyle w:val="49"/>
        <w:spacing w:line="360" w:lineRule="auto"/>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村建设用地面积约</w:t>
      </w:r>
      <w:r>
        <w:rPr>
          <w:rFonts w:hint="eastAsia" w:ascii="微软雅黑" w:hAnsi="微软雅黑" w:eastAsia="微软雅黑" w:cs="微软雅黑"/>
          <w:color w:val="auto"/>
          <w:sz w:val="24"/>
          <w:szCs w:val="24"/>
          <w:lang w:val="en-US" w:eastAsia="zh-CN"/>
        </w:rPr>
        <w:t>20.75</w:t>
      </w:r>
      <w:r>
        <w:rPr>
          <w:rFonts w:hint="eastAsia" w:ascii="微软雅黑" w:hAnsi="微软雅黑" w:eastAsia="微软雅黑" w:cs="微软雅黑"/>
          <w:color w:val="auto"/>
          <w:sz w:val="24"/>
          <w:szCs w:val="24"/>
        </w:rPr>
        <w:t>公顷，占全村面积的</w:t>
      </w:r>
      <w:r>
        <w:rPr>
          <w:rFonts w:hint="eastAsia" w:ascii="微软雅黑" w:hAnsi="微软雅黑" w:eastAsia="微软雅黑" w:cs="微软雅黑"/>
          <w:color w:val="auto"/>
          <w:sz w:val="24"/>
          <w:szCs w:val="24"/>
          <w:lang w:val="en-US" w:eastAsia="zh-CN"/>
        </w:rPr>
        <w:t>5.67</w:t>
      </w:r>
      <w:r>
        <w:rPr>
          <w:rFonts w:hint="eastAsia" w:ascii="微软雅黑" w:hAnsi="微软雅黑" w:eastAsia="微软雅黑" w:cs="微软雅黑"/>
          <w:color w:val="auto"/>
          <w:sz w:val="24"/>
          <w:szCs w:val="24"/>
        </w:rPr>
        <w:t>%，零星分布于村域全境；</w:t>
      </w:r>
      <w:r>
        <w:rPr>
          <w:rFonts w:hint="eastAsia" w:ascii="微软雅黑" w:hAnsi="微软雅黑" w:eastAsia="微软雅黑" w:cs="微软雅黑"/>
          <w:color w:val="auto"/>
          <w:sz w:val="24"/>
          <w:szCs w:val="24"/>
          <w:lang w:eastAsia="zh-CN"/>
        </w:rPr>
        <w:t>坑塘水面</w:t>
      </w:r>
      <w:r>
        <w:rPr>
          <w:rFonts w:hint="eastAsia" w:ascii="微软雅黑" w:hAnsi="微软雅黑" w:eastAsia="微软雅黑" w:cs="微软雅黑"/>
          <w:color w:val="auto"/>
          <w:sz w:val="24"/>
          <w:szCs w:val="24"/>
        </w:rPr>
        <w:t>面积约</w:t>
      </w:r>
      <w:r>
        <w:rPr>
          <w:rFonts w:hint="eastAsia" w:ascii="微软雅黑" w:hAnsi="微软雅黑" w:eastAsia="微软雅黑" w:cs="微软雅黑"/>
          <w:color w:val="auto"/>
          <w:sz w:val="24"/>
          <w:szCs w:val="24"/>
          <w:lang w:val="en-US" w:eastAsia="zh-CN"/>
        </w:rPr>
        <w:t>1.99</w:t>
      </w:r>
      <w:r>
        <w:rPr>
          <w:rFonts w:hint="eastAsia" w:ascii="微软雅黑" w:hAnsi="微软雅黑" w:eastAsia="微软雅黑" w:cs="微软雅黑"/>
          <w:color w:val="auto"/>
          <w:sz w:val="24"/>
          <w:szCs w:val="24"/>
        </w:rPr>
        <w:t>公顷，占全村面积的</w:t>
      </w:r>
      <w:r>
        <w:rPr>
          <w:rFonts w:hint="eastAsia" w:ascii="微软雅黑" w:hAnsi="微软雅黑" w:eastAsia="微软雅黑" w:cs="微软雅黑"/>
          <w:color w:val="auto"/>
          <w:sz w:val="24"/>
          <w:szCs w:val="24"/>
          <w:lang w:val="en-US" w:eastAsia="zh-CN"/>
        </w:rPr>
        <w:t>0.54</w:t>
      </w:r>
      <w:r>
        <w:rPr>
          <w:rFonts w:hint="eastAsia" w:ascii="微软雅黑" w:hAnsi="微软雅黑" w:eastAsia="微软雅黑" w:cs="微软雅黑"/>
          <w:color w:val="auto"/>
          <w:sz w:val="24"/>
          <w:szCs w:val="24"/>
        </w:rPr>
        <w:t>%；其他土地面积约</w:t>
      </w:r>
      <w:r>
        <w:rPr>
          <w:rFonts w:hint="eastAsia" w:ascii="微软雅黑" w:hAnsi="微软雅黑" w:eastAsia="微软雅黑" w:cs="微软雅黑"/>
          <w:color w:val="auto"/>
          <w:sz w:val="24"/>
          <w:szCs w:val="24"/>
          <w:lang w:val="en-US" w:eastAsia="zh-CN"/>
        </w:rPr>
        <w:t>0.15</w:t>
      </w:r>
      <w:r>
        <w:rPr>
          <w:rFonts w:hint="eastAsia" w:ascii="微软雅黑" w:hAnsi="微软雅黑" w:eastAsia="微软雅黑" w:cs="微软雅黑"/>
          <w:color w:val="auto"/>
          <w:sz w:val="24"/>
          <w:szCs w:val="24"/>
        </w:rPr>
        <w:t>公顷。</w:t>
      </w:r>
    </w:p>
    <w:p>
      <w:pPr>
        <w:spacing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第十</w:t>
      </w:r>
      <w:r>
        <w:rPr>
          <w:rFonts w:hint="eastAsia" w:ascii="微软雅黑" w:hAnsi="微软雅黑" w:eastAsia="微软雅黑" w:cs="微软雅黑"/>
          <w:b/>
          <w:color w:val="auto"/>
          <w:sz w:val="24"/>
          <w:szCs w:val="24"/>
          <w:lang w:eastAsia="zh-CN"/>
        </w:rPr>
        <w:t>七</w:t>
      </w:r>
      <w:r>
        <w:rPr>
          <w:rFonts w:hint="eastAsia" w:ascii="微软雅黑" w:hAnsi="微软雅黑" w:eastAsia="微软雅黑" w:cs="微软雅黑"/>
          <w:b/>
          <w:color w:val="auto"/>
          <w:sz w:val="24"/>
          <w:szCs w:val="24"/>
        </w:rPr>
        <w:t>条 村域土地利用规划</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根据最新农村土地利用分类标准，村域用地大类分为：农用地、建设用地、其他土地三类。</w:t>
      </w:r>
    </w:p>
    <w:p>
      <w:pPr>
        <w:pStyle w:val="49"/>
        <w:spacing w:line="360" w:lineRule="auto"/>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rPr>
        <w:t>农</w:t>
      </w:r>
      <w:r>
        <w:rPr>
          <w:rFonts w:hint="eastAsia" w:ascii="微软雅黑" w:hAnsi="微软雅黑" w:eastAsia="微软雅黑" w:cs="微软雅黑"/>
          <w:color w:val="auto"/>
          <w:sz w:val="24"/>
          <w:szCs w:val="24"/>
        </w:rPr>
        <w:t>用地分为耕地、园地、林地、</w:t>
      </w:r>
      <w:r>
        <w:rPr>
          <w:rFonts w:hint="eastAsia" w:ascii="微软雅黑" w:hAnsi="微软雅黑" w:eastAsia="微软雅黑" w:cs="微软雅黑"/>
          <w:color w:val="auto"/>
          <w:sz w:val="24"/>
          <w:szCs w:val="24"/>
          <w:lang w:eastAsia="zh-CN"/>
        </w:rPr>
        <w:t>基本农田</w:t>
      </w:r>
      <w:r>
        <w:rPr>
          <w:rFonts w:hint="eastAsia" w:ascii="微软雅黑" w:hAnsi="微软雅黑" w:eastAsia="微软雅黑" w:cs="微软雅黑"/>
          <w:color w:val="auto"/>
          <w:sz w:val="24"/>
          <w:szCs w:val="24"/>
        </w:rPr>
        <w:t>和其他农用地。以传统农业种植和</w:t>
      </w:r>
      <w:r>
        <w:rPr>
          <w:rFonts w:hint="eastAsia" w:ascii="微软雅黑" w:hAnsi="微软雅黑" w:eastAsia="微软雅黑" w:cs="微软雅黑"/>
          <w:color w:val="auto"/>
          <w:sz w:val="24"/>
          <w:szCs w:val="24"/>
          <w:lang w:eastAsia="zh-CN"/>
        </w:rPr>
        <w:t>生态</w:t>
      </w:r>
      <w:r>
        <w:rPr>
          <w:rFonts w:hint="eastAsia" w:ascii="微软雅黑" w:hAnsi="微软雅黑" w:eastAsia="微软雅黑" w:cs="微软雅黑"/>
          <w:color w:val="auto"/>
          <w:sz w:val="24"/>
          <w:szCs w:val="24"/>
        </w:rPr>
        <w:t>农业种植相结合，用地面积约</w:t>
      </w:r>
      <w:r>
        <w:rPr>
          <w:rFonts w:hint="eastAsia" w:ascii="微软雅黑" w:hAnsi="微软雅黑" w:eastAsia="微软雅黑" w:cs="微软雅黑"/>
          <w:color w:val="auto"/>
          <w:sz w:val="24"/>
          <w:szCs w:val="24"/>
          <w:lang w:val="en-US" w:eastAsia="zh-CN"/>
        </w:rPr>
        <w:t>346.06</w:t>
      </w:r>
      <w:r>
        <w:rPr>
          <w:rFonts w:hint="eastAsia" w:ascii="微软雅黑" w:hAnsi="微软雅黑" w:eastAsia="微软雅黑" w:cs="微软雅黑"/>
          <w:color w:val="auto"/>
          <w:sz w:val="24"/>
          <w:szCs w:val="24"/>
        </w:rPr>
        <w:t>公顷。</w:t>
      </w:r>
    </w:p>
    <w:p>
      <w:pPr>
        <w:spacing w:line="360" w:lineRule="auto"/>
        <w:ind w:firstLine="42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建设用地面积约20.05公顷，均为农村居民点用地。</w:t>
      </w:r>
    </w:p>
    <w:p>
      <w:pPr>
        <w:spacing w:line="360" w:lineRule="auto"/>
        <w:ind w:firstLine="42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其他土地面积约0.15公顷，均为滩涂用地。</w:t>
      </w:r>
    </w:p>
    <w:p>
      <w:pPr>
        <w:spacing w:line="360" w:lineRule="auto"/>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具体用地详见附表三。</w:t>
      </w:r>
    </w:p>
    <w:p>
      <w:pPr>
        <w:spacing w:line="360" w:lineRule="auto"/>
        <w:jc w:val="center"/>
        <w:outlineLvl w:val="0"/>
        <w:rPr>
          <w:rFonts w:hint="eastAsia" w:ascii="微软雅黑" w:hAnsi="微软雅黑" w:eastAsia="微软雅黑" w:cs="微软雅黑"/>
          <w:b/>
          <w:color w:val="000000"/>
          <w:sz w:val="28"/>
          <w:szCs w:val="24"/>
        </w:rPr>
      </w:pPr>
      <w:bookmarkStart w:id="11" w:name="_Toc21406"/>
      <w:bookmarkStart w:id="12" w:name="_Toc488239685"/>
      <w:r>
        <w:rPr>
          <w:rFonts w:hint="eastAsia" w:ascii="微软雅黑" w:hAnsi="微软雅黑" w:eastAsia="微软雅黑" w:cs="微软雅黑"/>
          <w:b/>
          <w:color w:val="000000"/>
          <w:sz w:val="28"/>
          <w:szCs w:val="24"/>
        </w:rPr>
        <w:t>第五章 村域产业发展规划</w:t>
      </w:r>
      <w:bookmarkEnd w:id="11"/>
      <w:bookmarkEnd w:id="12"/>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w:t>
      </w:r>
      <w:r>
        <w:rPr>
          <w:rFonts w:hint="eastAsia" w:ascii="微软雅黑" w:hAnsi="微软雅黑" w:eastAsia="微软雅黑" w:cs="微软雅黑"/>
          <w:b/>
          <w:sz w:val="24"/>
          <w:szCs w:val="24"/>
          <w:lang w:eastAsia="zh-CN"/>
        </w:rPr>
        <w:t>八</w:t>
      </w:r>
      <w:r>
        <w:rPr>
          <w:rFonts w:hint="eastAsia" w:ascii="微软雅黑" w:hAnsi="微软雅黑" w:eastAsia="微软雅黑" w:cs="微软雅黑"/>
          <w:b/>
          <w:sz w:val="24"/>
          <w:szCs w:val="24"/>
        </w:rPr>
        <w:t>条 村域产业发展现状</w:t>
      </w:r>
    </w:p>
    <w:p>
      <w:pPr>
        <w:spacing w:line="360" w:lineRule="auto"/>
        <w:ind w:firstLine="42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w:t>
      </w:r>
      <w:r>
        <w:rPr>
          <w:rFonts w:hint="eastAsia" w:ascii="微软雅黑" w:hAnsi="微软雅黑" w:eastAsia="微软雅黑" w:cs="微软雅黑"/>
          <w:kern w:val="2"/>
          <w:sz w:val="24"/>
          <w:szCs w:val="24"/>
          <w:lang w:val="en-US" w:eastAsia="zh-CN" w:bidi="ar-SA"/>
        </w:rPr>
        <w:t>020年一产年产值约1620万元，无二产产业，三产年产值约2万元。骆马村2020年农业产值占比约99.88%，主要农产品为水稻、玉米和生猪等。</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第十</w:t>
      </w:r>
      <w:r>
        <w:rPr>
          <w:rFonts w:hint="eastAsia" w:ascii="微软雅黑" w:hAnsi="微软雅黑" w:eastAsia="微软雅黑" w:cs="微软雅黑"/>
          <w:b/>
          <w:sz w:val="24"/>
          <w:szCs w:val="24"/>
          <w:lang w:eastAsia="zh-CN"/>
        </w:rPr>
        <w:t>九</w:t>
      </w:r>
      <w:r>
        <w:rPr>
          <w:rFonts w:hint="eastAsia" w:ascii="微软雅黑" w:hAnsi="微软雅黑" w:eastAsia="微软雅黑" w:cs="微软雅黑"/>
          <w:b/>
          <w:sz w:val="24"/>
          <w:szCs w:val="24"/>
        </w:rPr>
        <w:t>条 村域产业发展</w:t>
      </w:r>
      <w:r>
        <w:rPr>
          <w:rFonts w:hint="eastAsia" w:ascii="微软雅黑" w:hAnsi="微软雅黑" w:eastAsia="微软雅黑" w:cs="微软雅黑"/>
          <w:b/>
          <w:sz w:val="24"/>
          <w:szCs w:val="24"/>
          <w:lang w:eastAsia="zh-CN"/>
        </w:rPr>
        <w:t>目标</w:t>
      </w:r>
    </w:p>
    <w:p>
      <w:pPr>
        <w:spacing w:line="360" w:lineRule="auto"/>
        <w:ind w:firstLine="42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eastAsia="zh-CN"/>
        </w:rPr>
        <w:t>坚持质量兴农、绿色兴农，以农业供给侧结构性改革为主线，加快构建现代农业产业体系、生产体系、经营体系，提高农业创新力、竞争力和全要素生产率，推进农业由增产导向转向提质导向。</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二十</w:t>
      </w:r>
      <w:r>
        <w:rPr>
          <w:rFonts w:hint="eastAsia" w:ascii="微软雅黑" w:hAnsi="微软雅黑" w:eastAsia="微软雅黑" w:cs="微软雅黑"/>
          <w:b/>
          <w:sz w:val="24"/>
          <w:szCs w:val="24"/>
        </w:rPr>
        <w:t>条 农业产业发展指引</w:t>
      </w:r>
    </w:p>
    <w:p>
      <w:pPr>
        <w:spacing w:line="360" w:lineRule="auto"/>
        <w:ind w:firstLine="42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骆马村农业产业规划形成</w:t>
      </w:r>
      <w:r>
        <w:rPr>
          <w:rFonts w:hint="eastAsia" w:ascii="微软雅黑" w:hAnsi="微软雅黑" w:eastAsia="微软雅黑" w:cs="微软雅黑"/>
          <w:sz w:val="24"/>
        </w:rPr>
        <w:t>特色蔬菜、草食牲畜、林果、药材、竹林</w:t>
      </w:r>
      <w:r>
        <w:rPr>
          <w:rFonts w:hint="eastAsia" w:ascii="微软雅黑" w:hAnsi="微软雅黑" w:eastAsia="微软雅黑" w:cs="微软雅黑"/>
          <w:kern w:val="2"/>
          <w:sz w:val="24"/>
          <w:szCs w:val="24"/>
          <w:lang w:val="en-US" w:eastAsia="zh-CN" w:bidi="ar-SA"/>
        </w:rPr>
        <w:t>产业格局。</w:t>
      </w:r>
    </w:p>
    <w:p>
      <w:pPr>
        <w:spacing w:line="360" w:lineRule="auto"/>
        <w:ind w:firstLine="42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经过国土整治、农业综合开发整治后的耕地和沟地，以优质水稻为主，打造优质水稻基地，成立水稻种植合作社，进行生产试点并建立销售渠道，逐步实现整村推广。引进水稻、玉米新品种新技术、推广杂交油菜种植等具有一定科技含量的项目。</w:t>
      </w:r>
    </w:p>
    <w:p>
      <w:pPr>
        <w:spacing w:line="360" w:lineRule="auto"/>
        <w:ind w:firstLine="42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利用退耕还林政策，加快林业产业结构调整，在不占用现有林地基础上，通过重点培育经果林产业，提高林业经济效益。在山腰台地发展规模经果林基地，按照集中连片、规模种植、鲜食加工并举的发展思路推进。充分利用林下土地资源和林荫优势从事林下种植、养殖等立体复合生产经营，实现资源共享、优势互补、循环相生、协调发展的生态农业模式。</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不断完善农业产业化经营机制，引进龙头企业，鼓励实现“公司＋基地＋农产”的经营方式，建立农产品生产、加工、出口基地，与农民结成利益共同体，带动优势产业和特色品种形成规模化生产和区域化布局，带动农民脱贫致富。</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一</w:t>
      </w:r>
      <w:r>
        <w:rPr>
          <w:rFonts w:hint="eastAsia" w:ascii="微软雅黑" w:hAnsi="微软雅黑" w:eastAsia="微软雅黑" w:cs="微软雅黑"/>
          <w:b/>
          <w:sz w:val="24"/>
          <w:szCs w:val="24"/>
        </w:rPr>
        <w:t>条 旅游业发展指引</w:t>
      </w:r>
    </w:p>
    <w:p>
      <w:pPr>
        <w:spacing w:line="360" w:lineRule="auto"/>
        <w:ind w:firstLine="42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围绕本村良好的农业景观，适当发展乡村旅游。</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二</w:t>
      </w:r>
      <w:r>
        <w:rPr>
          <w:rFonts w:hint="eastAsia" w:ascii="微软雅黑" w:hAnsi="微软雅黑" w:eastAsia="微软雅黑" w:cs="微软雅黑"/>
          <w:b/>
          <w:sz w:val="24"/>
          <w:szCs w:val="24"/>
        </w:rPr>
        <w:t>条 农村土地经营建议</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大力发展农村合作经济组织，着力转变单家独户的传统生产方式，解决小生产、大市场的矛盾，促进农业走向产业化、现代化，农民自愿的基础上，采用土地经营权入股、成立农业合作组织等多种形式，以整合土地资源、发展现代农业，形成规模化生产和品牌产业，增加产品科技含量和附加值，从而提高农民的经济收入。实现农民增收、村级经济实力增强、政府集约土地资源的“三赢”。</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条 扶持农民自主创业</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加大对农民进行培训的同时，成立以生态农业、养殖为主的专业合作社，形成生产有指导，运输有保证，销售有渠道的产业链，加大对农民创业的资金扶持力度，提供更为便利的小额贷款和融资担保，采取以奖代补的形式，鼓励群众自主创业。</w:t>
      </w:r>
    </w:p>
    <w:p>
      <w:pPr>
        <w:pStyle w:val="44"/>
        <w:jc w:val="center"/>
        <w:rPr>
          <w:rFonts w:hint="eastAsia" w:ascii="微软雅黑" w:hAnsi="微软雅黑" w:eastAsia="微软雅黑" w:cs="微软雅黑"/>
          <w:sz w:val="28"/>
          <w:szCs w:val="28"/>
        </w:rPr>
      </w:pPr>
      <w:bookmarkStart w:id="13" w:name="_Toc17075"/>
      <w:bookmarkStart w:id="14" w:name="_Toc488239689"/>
      <w:r>
        <w:rPr>
          <w:rFonts w:hint="eastAsia" w:ascii="微软雅黑" w:hAnsi="微软雅黑" w:eastAsia="微软雅黑" w:cs="微软雅黑"/>
          <w:sz w:val="28"/>
          <w:szCs w:val="28"/>
          <w:lang w:eastAsia="zh-CN"/>
        </w:rPr>
        <w:t>第六章</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村域居民</w:t>
      </w:r>
      <w:r>
        <w:rPr>
          <w:rFonts w:hint="eastAsia" w:ascii="微软雅黑" w:hAnsi="微软雅黑" w:eastAsia="微软雅黑" w:cs="微软雅黑"/>
          <w:sz w:val="28"/>
          <w:szCs w:val="28"/>
          <w:lang w:eastAsia="zh-CN"/>
        </w:rPr>
        <w:t>建筑规划</w:t>
      </w:r>
      <w:bookmarkEnd w:id="13"/>
    </w:p>
    <w:p>
      <w:pPr>
        <w:numPr>
          <w:ilvl w:val="0"/>
          <w:numId w:val="0"/>
        </w:numPr>
        <w:tabs>
          <w:tab w:val="left" w:pos="105"/>
          <w:tab w:val="left" w:pos="525"/>
          <w:tab w:val="left" w:pos="630"/>
          <w:tab w:val="left" w:pos="945"/>
          <w:tab w:val="left" w:pos="1931"/>
        </w:tabs>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四</w:t>
      </w:r>
      <w:r>
        <w:rPr>
          <w:rFonts w:hint="eastAsia" w:ascii="微软雅黑" w:hAnsi="微软雅黑" w:eastAsia="微软雅黑" w:cs="微软雅黑"/>
          <w:b/>
          <w:sz w:val="24"/>
          <w:szCs w:val="24"/>
        </w:rPr>
        <w:t xml:space="preserve">条 </w:t>
      </w:r>
      <w:r>
        <w:rPr>
          <w:rFonts w:hint="eastAsia" w:ascii="微软雅黑" w:hAnsi="微软雅黑" w:eastAsia="微软雅黑" w:cs="微软雅黑"/>
          <w:b/>
          <w:sz w:val="24"/>
          <w:szCs w:val="24"/>
          <w:lang w:eastAsia="zh-CN"/>
        </w:rPr>
        <w:t>集中居民点修建意愿</w:t>
      </w:r>
    </w:p>
    <w:p>
      <w:pPr>
        <w:numPr>
          <w:ilvl w:val="0"/>
          <w:numId w:val="0"/>
        </w:numPr>
        <w:tabs>
          <w:tab w:val="left" w:pos="105"/>
          <w:tab w:val="left" w:pos="525"/>
          <w:tab w:val="left" w:pos="630"/>
          <w:tab w:val="left" w:pos="945"/>
          <w:tab w:val="left" w:pos="1931"/>
        </w:tabs>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根据村民意见，结合现有实际情况，</w:t>
      </w:r>
      <w:r>
        <w:rPr>
          <w:rFonts w:hint="eastAsia" w:ascii="微软雅黑" w:hAnsi="微软雅黑" w:eastAsia="微软雅黑" w:cs="微软雅黑"/>
          <w:sz w:val="24"/>
          <w:szCs w:val="24"/>
          <w:lang w:eastAsia="zh-CN"/>
        </w:rPr>
        <w:t>村内暂无意愿修建集中居民点</w:t>
      </w:r>
      <w:r>
        <w:rPr>
          <w:rFonts w:hint="eastAsia" w:ascii="微软雅黑" w:hAnsi="微软雅黑" w:eastAsia="微软雅黑" w:cs="微软雅黑"/>
          <w:sz w:val="24"/>
          <w:szCs w:val="24"/>
        </w:rPr>
        <w:t>。</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五</w:t>
      </w:r>
      <w:r>
        <w:rPr>
          <w:rFonts w:hint="eastAsia" w:ascii="微软雅黑" w:hAnsi="微软雅黑" w:eastAsia="微软雅黑" w:cs="微软雅黑"/>
          <w:b/>
          <w:sz w:val="24"/>
          <w:szCs w:val="24"/>
        </w:rPr>
        <w:t>条 居民</w:t>
      </w:r>
      <w:r>
        <w:rPr>
          <w:rFonts w:hint="eastAsia" w:ascii="微软雅黑" w:hAnsi="微软雅黑" w:eastAsia="微软雅黑" w:cs="微软雅黑"/>
          <w:b/>
          <w:sz w:val="24"/>
          <w:szCs w:val="24"/>
          <w:lang w:eastAsia="zh-CN"/>
        </w:rPr>
        <w:t>建筑</w:t>
      </w:r>
      <w:r>
        <w:rPr>
          <w:rFonts w:hint="eastAsia" w:ascii="微软雅黑" w:hAnsi="微软雅黑" w:eastAsia="微软雅黑" w:cs="微软雅黑"/>
          <w:b/>
          <w:sz w:val="24"/>
          <w:szCs w:val="24"/>
        </w:rPr>
        <w:t>用地标准</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在符合上位规划的前提下，村规划的集中和分散集体建设用地要分类统计，其总规模和村规划人口规模原则上不得超过该村现状集体建设用地和人口总规模。由于乡村旅游等发展需要，确需超过的，应经区县级以上规划、国土等部门组织专题认证后确定。规划集体建设用地规模可在镇乡域范围内统一调配和安排。</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农村集中居民点及其他农村居民住宅建设，宅基地标准按《重庆市土地管理规定》执行，，每人20-30平方米。3人以下户按3人计算，4人户按4人计算，5人以上户按5人计算，扩建住宅新占的土地面积应连同原有宅基地面积一并计算。</w:t>
      </w:r>
    </w:p>
    <w:p>
      <w:pPr>
        <w:spacing w:line="360" w:lineRule="auto"/>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rPr>
        <w:t>散居村民</w:t>
      </w:r>
      <w:r>
        <w:rPr>
          <w:rFonts w:hint="eastAsia" w:ascii="微软雅黑" w:hAnsi="微软雅黑" w:eastAsia="微软雅黑" w:cs="微软雅黑"/>
          <w:sz w:val="24"/>
          <w:szCs w:val="24"/>
          <w:lang w:eastAsia="zh-CN"/>
        </w:rPr>
        <w:t>建筑</w:t>
      </w:r>
      <w:r>
        <w:rPr>
          <w:rFonts w:hint="eastAsia" w:ascii="微软雅黑" w:hAnsi="微软雅黑" w:eastAsia="微软雅黑" w:cs="微软雅黑"/>
          <w:sz w:val="24"/>
          <w:szCs w:val="24"/>
        </w:rPr>
        <w:t>原则上不得新建和扩建住宅，经村委会讨论同意后可在原宅基地上进行扩建，新增人口的建设用地标准不得超过</w:t>
      </w:r>
      <w:r>
        <w:rPr>
          <w:rFonts w:hint="eastAsia" w:ascii="微软雅黑" w:hAnsi="微软雅黑" w:eastAsia="微软雅黑" w:cs="微软雅黑"/>
          <w:color w:val="auto"/>
          <w:sz w:val="24"/>
          <w:szCs w:val="24"/>
        </w:rPr>
        <w:t>120平方米/人。</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六</w:t>
      </w:r>
      <w:r>
        <w:rPr>
          <w:rFonts w:hint="eastAsia" w:ascii="微软雅黑" w:hAnsi="微软雅黑" w:eastAsia="微软雅黑" w:cs="微软雅黑"/>
          <w:b/>
          <w:sz w:val="24"/>
          <w:szCs w:val="24"/>
        </w:rPr>
        <w:t>条</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建筑选型</w:t>
      </w:r>
    </w:p>
    <w:p>
      <w:pPr>
        <w:spacing w:line="360" w:lineRule="auto"/>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lang w:eastAsia="zh-CN"/>
        </w:rPr>
        <w:t>新建</w:t>
      </w:r>
      <w:r>
        <w:rPr>
          <w:rFonts w:hint="eastAsia" w:ascii="微软雅黑" w:hAnsi="微软雅黑" w:eastAsia="微软雅黑" w:cs="微软雅黑"/>
          <w:sz w:val="24"/>
          <w:szCs w:val="24"/>
        </w:rPr>
        <w:t>居民建筑按照“节能、节地、节水、节材”标准进行建设，按照独立式、双拼住宅、联排住宅多种形式进行。坡屋顶与平屋顶相结合，内院、天井及后院设置相结合，富有巴渝民居特色，充分体现农村院落特色，方便开展院坝文化，提高文化内涵。</w:t>
      </w:r>
    </w:p>
    <w:p>
      <w:pPr>
        <w:spacing w:line="360" w:lineRule="auto"/>
        <w:ind w:left="-189" w:leftChars="-90" w:right="55" w:rightChars="26"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原有的民居风格房屋保持原貌，粉刷墙面与穿斗、檐口，进行立面翻新；对近年修建的房屋重点地段可在立面上增加传统建筑元素，并加强宅旁绿化。新建建筑应控制建筑的风格、密度、体量、色彩，灵活运用传统民居的建筑符号，与整体环境风貌相协调。大型院落应注重整体风格，适当增加一些围墙，加强围合感。散户注重与自然的协调，通过绿化将建筑进行遮挡，让少量的建筑显露在山水之间。</w:t>
      </w:r>
    </w:p>
    <w:p>
      <w:pPr>
        <w:spacing w:line="360" w:lineRule="auto"/>
        <w:ind w:left="-189" w:leftChars="-90" w:right="55" w:rightChars="26"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rPr>
        <w:t>建筑密高度控制在</w:t>
      </w: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层。</w:t>
      </w:r>
    </w:p>
    <w:p>
      <w:pPr>
        <w:spacing w:line="360" w:lineRule="auto"/>
        <w:jc w:val="center"/>
        <w:outlineLvl w:val="0"/>
        <w:rPr>
          <w:rFonts w:hint="eastAsia" w:ascii="微软雅黑" w:hAnsi="微软雅黑" w:eastAsia="微软雅黑" w:cs="微软雅黑"/>
          <w:b/>
          <w:color w:val="000000"/>
          <w:sz w:val="28"/>
          <w:szCs w:val="24"/>
        </w:rPr>
      </w:pPr>
      <w:bookmarkStart w:id="15" w:name="_Toc17274"/>
      <w:r>
        <w:rPr>
          <w:rFonts w:hint="eastAsia" w:ascii="微软雅黑" w:hAnsi="微软雅黑" w:eastAsia="微软雅黑" w:cs="微软雅黑"/>
          <w:b/>
          <w:color w:val="000000"/>
          <w:sz w:val="28"/>
          <w:szCs w:val="24"/>
        </w:rPr>
        <w:t>第</w:t>
      </w:r>
      <w:r>
        <w:rPr>
          <w:rFonts w:hint="eastAsia" w:ascii="微软雅黑" w:hAnsi="微软雅黑" w:eastAsia="微软雅黑" w:cs="微软雅黑"/>
          <w:b/>
          <w:color w:val="000000"/>
          <w:sz w:val="28"/>
          <w:szCs w:val="24"/>
          <w:lang w:eastAsia="zh-CN"/>
        </w:rPr>
        <w:t>七</w:t>
      </w:r>
      <w:r>
        <w:rPr>
          <w:rFonts w:hint="eastAsia" w:ascii="微软雅黑" w:hAnsi="微软雅黑" w:eastAsia="微软雅黑" w:cs="微软雅黑"/>
          <w:b/>
          <w:color w:val="000000"/>
          <w:sz w:val="28"/>
          <w:szCs w:val="24"/>
        </w:rPr>
        <w:t>章 村域公共服务设施规划</w:t>
      </w:r>
      <w:bookmarkEnd w:id="14"/>
      <w:bookmarkEnd w:id="15"/>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第二十</w:t>
      </w:r>
      <w:r>
        <w:rPr>
          <w:rFonts w:hint="eastAsia" w:ascii="微软雅黑" w:hAnsi="微软雅黑" w:eastAsia="微软雅黑" w:cs="微软雅黑"/>
          <w:b/>
          <w:sz w:val="24"/>
          <w:szCs w:val="24"/>
          <w:lang w:eastAsia="zh-CN"/>
        </w:rPr>
        <w:t>七</w:t>
      </w:r>
      <w:r>
        <w:rPr>
          <w:rFonts w:hint="eastAsia" w:ascii="微软雅黑" w:hAnsi="微软雅黑" w:eastAsia="微软雅黑" w:cs="微软雅黑"/>
          <w:b/>
          <w:sz w:val="24"/>
          <w:szCs w:val="24"/>
        </w:rPr>
        <w:t>条 村域公共服务设施布局</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村域公共服务设施包括行政、教育、医疗卫生、社会保障、文化体育、商业活动等六类。公共建筑宜集中布置在位置适中、内外联系方便的地段，兼类使用。村敬老院应布置在环境好，相对安静的位置。商业服务建筑宜布置在集中居民点人口集中和交通方便的地段。市场设施用地应综合考虑交通、环境与节约用地等因素进行布置，应有利于人流和商品的集散，并不得占用主村道。</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二十八</w:t>
      </w:r>
      <w:r>
        <w:rPr>
          <w:rFonts w:hint="eastAsia" w:ascii="微软雅黑" w:hAnsi="微软雅黑" w:eastAsia="微软雅黑" w:cs="微软雅黑"/>
          <w:b/>
          <w:sz w:val="24"/>
          <w:szCs w:val="24"/>
        </w:rPr>
        <w:t>条 配置标准</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原便民</w:t>
      </w:r>
      <w:r>
        <w:rPr>
          <w:rFonts w:hint="eastAsia" w:ascii="微软雅黑" w:hAnsi="微软雅黑" w:eastAsia="微软雅黑" w:cs="微软雅黑"/>
          <w:sz w:val="24"/>
          <w:szCs w:val="24"/>
        </w:rPr>
        <w:t>服务中心（村委会所在地）现</w:t>
      </w:r>
      <w:r>
        <w:rPr>
          <w:rFonts w:hint="eastAsia" w:ascii="微软雅黑" w:hAnsi="微软雅黑" w:eastAsia="微软雅黑" w:cs="微软雅黑"/>
          <w:sz w:val="24"/>
          <w:szCs w:val="24"/>
          <w:lang w:eastAsia="zh-CN"/>
        </w:rPr>
        <w:t>状为使用中</w:t>
      </w:r>
      <w:r>
        <w:rPr>
          <w:rFonts w:hint="eastAsia" w:ascii="微软雅黑" w:hAnsi="微软雅黑" w:eastAsia="微软雅黑" w:cs="微软雅黑"/>
          <w:sz w:val="24"/>
          <w:szCs w:val="24"/>
        </w:rPr>
        <w:t>，主要服务村域范围，配置</w:t>
      </w:r>
      <w:r>
        <w:rPr>
          <w:rFonts w:hint="eastAsia" w:ascii="微软雅黑" w:hAnsi="微软雅黑" w:eastAsia="微软雅黑" w:cs="微软雅黑"/>
          <w:sz w:val="24"/>
          <w:szCs w:val="24"/>
          <w:lang w:eastAsia="zh-CN"/>
        </w:rPr>
        <w:t>有</w:t>
      </w:r>
      <w:r>
        <w:rPr>
          <w:rFonts w:hint="eastAsia" w:ascii="微软雅黑" w:hAnsi="微软雅黑" w:eastAsia="微软雅黑" w:cs="微软雅黑"/>
          <w:sz w:val="24"/>
        </w:rPr>
        <w:t>一站式服务大厅、群众工作室、计生工作室、图书室、办公室</w:t>
      </w:r>
      <w:r>
        <w:rPr>
          <w:rFonts w:hint="eastAsia" w:ascii="微软雅黑" w:hAnsi="微软雅黑" w:eastAsia="微软雅黑" w:cs="微软雅黑"/>
          <w:sz w:val="24"/>
          <w:szCs w:val="24"/>
        </w:rPr>
        <w:t>等用房</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兼有农村技术合作社、农村信息中心等联络和服务功能。</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根据实际情况以上功能区可统一设置，兼类使用。管理用房、文化活动室、图书室等可兼用；放心店、邮政、储蓄代办点等可兼用；健身活动设施、停车场可兼用。</w:t>
      </w:r>
    </w:p>
    <w:p>
      <w:pPr>
        <w:spacing w:line="360" w:lineRule="auto"/>
        <w:jc w:val="center"/>
        <w:outlineLvl w:val="0"/>
        <w:rPr>
          <w:rFonts w:hint="eastAsia" w:ascii="微软雅黑" w:hAnsi="微软雅黑" w:eastAsia="微软雅黑" w:cs="微软雅黑"/>
          <w:b/>
          <w:color w:val="000000"/>
          <w:sz w:val="28"/>
          <w:szCs w:val="24"/>
        </w:rPr>
      </w:pPr>
      <w:bookmarkStart w:id="16" w:name="_Toc27777"/>
      <w:bookmarkStart w:id="17" w:name="_Toc488239690"/>
      <w:r>
        <w:rPr>
          <w:rFonts w:hint="eastAsia" w:ascii="微软雅黑" w:hAnsi="微软雅黑" w:eastAsia="微软雅黑" w:cs="微软雅黑"/>
          <w:b/>
          <w:color w:val="000000"/>
          <w:sz w:val="28"/>
          <w:szCs w:val="24"/>
        </w:rPr>
        <w:t>第</w:t>
      </w:r>
      <w:r>
        <w:rPr>
          <w:rFonts w:hint="eastAsia" w:ascii="微软雅黑" w:hAnsi="微软雅黑" w:eastAsia="微软雅黑" w:cs="微软雅黑"/>
          <w:b/>
          <w:color w:val="000000"/>
          <w:sz w:val="28"/>
          <w:szCs w:val="24"/>
          <w:lang w:eastAsia="zh-CN"/>
        </w:rPr>
        <w:t>八</w:t>
      </w:r>
      <w:r>
        <w:rPr>
          <w:rFonts w:hint="eastAsia" w:ascii="微软雅黑" w:hAnsi="微软雅黑" w:eastAsia="微软雅黑" w:cs="微软雅黑"/>
          <w:b/>
          <w:color w:val="000000"/>
          <w:sz w:val="28"/>
          <w:szCs w:val="24"/>
        </w:rPr>
        <w:t>章 村域交通规划</w:t>
      </w:r>
      <w:bookmarkEnd w:id="16"/>
      <w:bookmarkEnd w:id="17"/>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二十九</w:t>
      </w:r>
      <w:r>
        <w:rPr>
          <w:rFonts w:hint="eastAsia" w:ascii="微软雅黑" w:hAnsi="微软雅黑" w:eastAsia="微软雅黑" w:cs="微软雅黑"/>
          <w:b/>
          <w:sz w:val="24"/>
          <w:szCs w:val="24"/>
        </w:rPr>
        <w:t>条 规划目标</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规划构建以村级主干路、村级次干路和步行道路</w:t>
      </w:r>
      <w:r>
        <w:rPr>
          <w:rFonts w:hint="eastAsia" w:ascii="微软雅黑" w:hAnsi="微软雅黑" w:eastAsia="微软雅黑" w:cs="微软雅黑"/>
          <w:sz w:val="24"/>
          <w:szCs w:val="24"/>
          <w:lang w:eastAsia="zh-CN"/>
        </w:rPr>
        <w:t>三</w:t>
      </w:r>
      <w:r>
        <w:rPr>
          <w:rFonts w:hint="eastAsia" w:ascii="微软雅黑" w:hAnsi="微软雅黑" w:eastAsia="微软雅黑" w:cs="微软雅黑"/>
          <w:sz w:val="24"/>
          <w:szCs w:val="24"/>
        </w:rPr>
        <w:t>级设置的完善道路体系，形成站场设施完善、安全达标，对外通畅，对内集中居民点、主要产业区通达，方便居民的村域交通系统。</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三十</w:t>
      </w:r>
      <w:r>
        <w:rPr>
          <w:rFonts w:hint="eastAsia" w:ascii="微软雅黑" w:hAnsi="微软雅黑" w:eastAsia="微软雅黑" w:cs="微软雅黑"/>
          <w:b/>
          <w:sz w:val="24"/>
          <w:szCs w:val="24"/>
        </w:rPr>
        <w:t>条 村域道路</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村域道路分为村级主干路、村级次干路和步行道路</w:t>
      </w:r>
      <w:r>
        <w:rPr>
          <w:rFonts w:hint="eastAsia" w:ascii="微软雅黑" w:hAnsi="微软雅黑" w:eastAsia="微软雅黑" w:cs="微软雅黑"/>
          <w:sz w:val="24"/>
          <w:szCs w:val="24"/>
          <w:lang w:eastAsia="zh-CN"/>
        </w:rPr>
        <w:t>三</w:t>
      </w:r>
      <w:r>
        <w:rPr>
          <w:rFonts w:hint="eastAsia" w:ascii="微软雅黑" w:hAnsi="微软雅黑" w:eastAsia="微软雅黑" w:cs="微软雅黑"/>
          <w:sz w:val="24"/>
          <w:szCs w:val="24"/>
        </w:rPr>
        <w:t>个等级。</w:t>
      </w:r>
    </w:p>
    <w:p>
      <w:pPr>
        <w:pStyle w:val="49"/>
        <w:spacing w:line="360" w:lineRule="auto"/>
        <w:ind w:firstLine="48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村级主干路：</w:t>
      </w:r>
      <w:r>
        <w:rPr>
          <w:rFonts w:hint="eastAsia" w:ascii="微软雅黑" w:hAnsi="微软雅黑" w:eastAsia="微软雅黑" w:cs="微软雅黑"/>
          <w:color w:val="000000" w:themeColor="text1"/>
          <w:sz w:val="24"/>
          <w:szCs w:val="24"/>
          <w:lang w:eastAsia="zh-CN"/>
          <w14:textFill>
            <w14:solidFill>
              <w14:schemeClr w14:val="tx1"/>
            </w14:solidFill>
          </w14:textFill>
        </w:rPr>
        <w:t>骆马村现状</w:t>
      </w:r>
      <w:r>
        <w:rPr>
          <w:rFonts w:hint="eastAsia" w:ascii="微软雅黑" w:hAnsi="微软雅黑" w:eastAsia="微软雅黑" w:cs="微软雅黑"/>
          <w:color w:val="000000" w:themeColor="text1"/>
          <w:sz w:val="24"/>
          <w:szCs w:val="24"/>
          <w14:textFill>
            <w14:solidFill>
              <w14:schemeClr w14:val="tx1"/>
            </w14:solidFill>
          </w14:textFill>
        </w:rPr>
        <w:t>道路主干系统网已形成，通村主干路</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长约2.53</w:t>
      </w:r>
      <w:r>
        <w:rPr>
          <w:rFonts w:hint="eastAsia" w:ascii="微软雅黑" w:hAnsi="微软雅黑" w:eastAsia="微软雅黑" w:cs="微软雅黑"/>
          <w:color w:val="000000" w:themeColor="text1"/>
          <w:sz w:val="24"/>
          <w:szCs w:val="24"/>
          <w14:textFill>
            <w14:solidFill>
              <w14:schemeClr w14:val="tx1"/>
            </w14:solidFill>
          </w14:textFill>
        </w:rPr>
        <w:t>公里，宽度</w:t>
      </w:r>
      <w:r>
        <w:rPr>
          <w:rFonts w:hint="eastAsia" w:ascii="微软雅黑" w:hAnsi="微软雅黑" w:eastAsia="微软雅黑" w:cs="微软雅黑"/>
          <w:color w:val="000000" w:themeColor="text1"/>
          <w:sz w:val="24"/>
          <w:szCs w:val="24"/>
          <w:lang w:eastAsia="zh-CN"/>
          <w14:textFill>
            <w14:solidFill>
              <w14:schemeClr w14:val="tx1"/>
            </w14:solidFill>
          </w14:textFill>
        </w:rPr>
        <w:t>约</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4.5</w:t>
      </w:r>
      <w:r>
        <w:rPr>
          <w:rFonts w:hint="eastAsia" w:ascii="微软雅黑" w:hAnsi="微软雅黑" w:eastAsia="微软雅黑" w:cs="微软雅黑"/>
          <w:color w:val="000000" w:themeColor="text1"/>
          <w:sz w:val="24"/>
          <w:szCs w:val="24"/>
          <w14:textFill>
            <w14:solidFill>
              <w14:schemeClr w14:val="tx1"/>
            </w14:solidFill>
          </w14:textFill>
        </w:rPr>
        <w:t>米，</w:t>
      </w:r>
      <w:r>
        <w:rPr>
          <w:rFonts w:hint="eastAsia" w:ascii="微软雅黑" w:hAnsi="微软雅黑" w:eastAsia="微软雅黑" w:cs="微软雅黑"/>
          <w:color w:val="000000" w:themeColor="text1"/>
          <w:sz w:val="24"/>
          <w:szCs w:val="24"/>
          <w:lang w:eastAsia="zh-CN"/>
          <w14:textFill>
            <w14:solidFill>
              <w14:schemeClr w14:val="tx1"/>
            </w14:solidFill>
          </w14:textFill>
        </w:rPr>
        <w:t>水泥</w:t>
      </w:r>
      <w:r>
        <w:rPr>
          <w:rFonts w:hint="eastAsia" w:ascii="微软雅黑" w:hAnsi="微软雅黑" w:eastAsia="微软雅黑" w:cs="微软雅黑"/>
          <w:color w:val="000000" w:themeColor="text1"/>
          <w:sz w:val="24"/>
          <w:szCs w:val="24"/>
          <w14:textFill>
            <w14:solidFill>
              <w14:schemeClr w14:val="tx1"/>
            </w14:solidFill>
          </w14:textFill>
        </w:rPr>
        <w:t>路面。规划水泥硬化通村主干路，改善现有交通条件，更好地满足农村产业发展需求。</w:t>
      </w:r>
    </w:p>
    <w:p>
      <w:pPr>
        <w:pStyle w:val="49"/>
        <w:spacing w:line="360" w:lineRule="auto"/>
        <w:ind w:firstLine="48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村级次干路：</w:t>
      </w:r>
      <w:r>
        <w:rPr>
          <w:rFonts w:hint="eastAsia" w:ascii="微软雅黑" w:hAnsi="微软雅黑" w:eastAsia="微软雅黑" w:cs="微软雅黑"/>
          <w:color w:val="000000" w:themeColor="text1"/>
          <w:sz w:val="24"/>
          <w:szCs w:val="24"/>
          <w:lang w:eastAsia="zh-CN"/>
          <w14:textFill>
            <w14:solidFill>
              <w14:schemeClr w14:val="tx1"/>
            </w14:solidFill>
          </w14:textFill>
        </w:rPr>
        <w:t>骆马村现状次</w:t>
      </w:r>
      <w:r>
        <w:rPr>
          <w:rFonts w:hint="eastAsia" w:ascii="微软雅黑" w:hAnsi="微软雅黑" w:eastAsia="微软雅黑" w:cs="微软雅黑"/>
          <w:color w:val="000000" w:themeColor="text1"/>
          <w:sz w:val="24"/>
          <w:szCs w:val="24"/>
          <w14:textFill>
            <w14:solidFill>
              <w14:schemeClr w14:val="tx1"/>
            </w14:solidFill>
          </w14:textFill>
        </w:rPr>
        <w:t>干路</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15.17</w:t>
      </w:r>
      <w:r>
        <w:rPr>
          <w:rFonts w:hint="eastAsia" w:ascii="微软雅黑" w:hAnsi="微软雅黑" w:eastAsia="微软雅黑" w:cs="微软雅黑"/>
          <w:color w:val="000000" w:themeColor="text1"/>
          <w:sz w:val="24"/>
          <w:szCs w:val="24"/>
          <w14:textFill>
            <w14:solidFill>
              <w14:schemeClr w14:val="tx1"/>
            </w14:solidFill>
          </w14:textFill>
        </w:rPr>
        <w:t>公里，</w:t>
      </w:r>
      <w:r>
        <w:rPr>
          <w:rFonts w:hint="eastAsia" w:ascii="微软雅黑" w:hAnsi="微软雅黑" w:eastAsia="微软雅黑" w:cs="微软雅黑"/>
          <w:color w:val="000000" w:themeColor="text1"/>
          <w:sz w:val="24"/>
          <w:szCs w:val="24"/>
          <w:lang w:eastAsia="zh-CN"/>
          <w14:textFill>
            <w14:solidFill>
              <w14:schemeClr w14:val="tx1"/>
            </w14:solidFill>
          </w14:textFill>
        </w:rPr>
        <w:t>主要</w:t>
      </w:r>
      <w:r>
        <w:rPr>
          <w:rFonts w:hint="eastAsia" w:ascii="微软雅黑" w:hAnsi="微软雅黑" w:eastAsia="微软雅黑" w:cs="微软雅黑"/>
          <w:color w:val="000000" w:themeColor="text1"/>
          <w:sz w:val="24"/>
          <w:szCs w:val="24"/>
          <w14:textFill>
            <w14:solidFill>
              <w14:schemeClr w14:val="tx1"/>
            </w14:solidFill>
          </w14:textFill>
        </w:rPr>
        <w:t>宽度</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米，</w:t>
      </w:r>
      <w:r>
        <w:rPr>
          <w:rFonts w:hint="eastAsia" w:ascii="微软雅黑" w:hAnsi="微软雅黑" w:eastAsia="微软雅黑" w:cs="微软雅黑"/>
          <w:color w:val="000000" w:themeColor="text1"/>
          <w:sz w:val="24"/>
          <w:szCs w:val="24"/>
          <w:lang w:eastAsia="zh-CN"/>
          <w14:textFill>
            <w14:solidFill>
              <w14:schemeClr w14:val="tx1"/>
            </w14:solidFill>
          </w14:textFill>
        </w:rPr>
        <w:t>水泥</w:t>
      </w:r>
      <w:r>
        <w:rPr>
          <w:rFonts w:hint="eastAsia" w:ascii="微软雅黑" w:hAnsi="微软雅黑" w:eastAsia="微软雅黑" w:cs="微软雅黑"/>
          <w:color w:val="000000" w:themeColor="text1"/>
          <w:sz w:val="24"/>
          <w:szCs w:val="24"/>
          <w14:textFill>
            <w14:solidFill>
              <w14:schemeClr w14:val="tx1"/>
            </w14:solidFill>
          </w14:textFill>
        </w:rPr>
        <w:t>路面。规划水泥硬化村级次干路，改善现有交通条件，更好地满足农村产业发展</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 xml:space="preserve"> </w:t>
      </w:r>
    </w:p>
    <w:p>
      <w:pPr>
        <w:spacing w:line="360" w:lineRule="auto"/>
        <w:ind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步行道：现状水泥硬化人行便道主要为入户路</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，宽度1-1.2米。到规划</w:t>
      </w:r>
      <w:r>
        <w:rPr>
          <w:rFonts w:hint="eastAsia" w:ascii="微软雅黑" w:hAnsi="微软雅黑" w:eastAsia="微软雅黑" w:cs="微软雅黑"/>
          <w:color w:val="000000" w:themeColor="text1"/>
          <w:sz w:val="24"/>
          <w:szCs w:val="24"/>
          <w:lang w:eastAsia="zh-CN"/>
          <w14:textFill>
            <w14:solidFill>
              <w14:schemeClr w14:val="tx1"/>
            </w14:solidFill>
          </w14:textFill>
        </w:rPr>
        <w:t>期末全村步行道硬化</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20公里以上，满足村民出行需求。</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第三十</w:t>
      </w:r>
      <w:r>
        <w:rPr>
          <w:rFonts w:hint="eastAsia" w:ascii="微软雅黑" w:hAnsi="微软雅黑" w:eastAsia="微软雅黑" w:cs="微软雅黑"/>
          <w:b/>
          <w:sz w:val="24"/>
          <w:szCs w:val="24"/>
          <w:lang w:eastAsia="zh-CN"/>
        </w:rPr>
        <w:t>一</w:t>
      </w:r>
      <w:r>
        <w:rPr>
          <w:rFonts w:hint="eastAsia" w:ascii="微软雅黑" w:hAnsi="微软雅黑" w:eastAsia="微软雅黑" w:cs="微软雅黑"/>
          <w:b/>
          <w:sz w:val="24"/>
          <w:szCs w:val="24"/>
        </w:rPr>
        <w:t>条 道路技术标准</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村道圆曲线最小半径为30米，极限最小半径为15米，一般情况下应尽量采用大于或等于一般最小半径，当受地形条件或其它特殊情况限制时，方可采用极限最小半径。当采用极限最小半径时，纵坡不应大于5%，超高不应大于6%。</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村道的纵坡最大不超过9%，当受地形条件或其它特殊情况限制而采用最大纵坡时，最大坡长不超过200米，并全线设置安全标志。</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村道（砼路面）路基宽度</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米，路面硬化宽度</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米，两侧各设置0.5米硬路肩；村道（泥结碎石路面）路面宽2.5—3.5米，两侧各设置0.25米土路肩。</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单车道村道应设置错车道，每公里不少于3处，错车道处路基宽度不小于6.5米，有效长度不小于10m，具体设置位置结合地形考虑。</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尽端式村道应在末端设置不小于12m×12m的回车场地。</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道路应根据当地降水与路面的具体情况设置必要的排水设施，及时将降水排出路面，保证行车安全。</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二</w:t>
      </w:r>
      <w:r>
        <w:rPr>
          <w:rFonts w:hint="eastAsia" w:ascii="微软雅黑" w:hAnsi="微软雅黑" w:eastAsia="微软雅黑" w:cs="微软雅黑"/>
          <w:b/>
          <w:sz w:val="24"/>
          <w:szCs w:val="24"/>
        </w:rPr>
        <w:t>条 其他交通设施</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规划村道沿线设置必要的交通安全设施、交通管理设施和交通防护设施。</w:t>
      </w:r>
    </w:p>
    <w:p>
      <w:pPr>
        <w:pStyle w:val="49"/>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在集中居民点、村委会附近应设置机动车限速标志和警告标志。</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在乡道、村道沿线两侧应进行植树绿化，美化路容，保护环境。植树可结合产业发展采用经济林木，但不得在道路路肩范围植树，同时植树应满足视距要求，粗细树技及矮林均不得伸入村道建筑限界内，以免影响行车安全。</w:t>
      </w:r>
    </w:p>
    <w:p>
      <w:pPr>
        <w:spacing w:line="360" w:lineRule="auto"/>
        <w:jc w:val="center"/>
        <w:outlineLvl w:val="0"/>
        <w:rPr>
          <w:rFonts w:hint="eastAsia" w:ascii="微软雅黑" w:hAnsi="微软雅黑" w:eastAsia="微软雅黑" w:cs="微软雅黑"/>
        </w:rPr>
      </w:pPr>
      <w:bookmarkStart w:id="18" w:name="_Toc488239691"/>
      <w:bookmarkStart w:id="19" w:name="_Toc28423"/>
      <w:r>
        <w:rPr>
          <w:rFonts w:hint="eastAsia" w:ascii="微软雅黑" w:hAnsi="微软雅黑" w:eastAsia="微软雅黑" w:cs="微软雅黑"/>
          <w:b/>
          <w:color w:val="000000"/>
          <w:sz w:val="28"/>
          <w:szCs w:val="24"/>
        </w:rPr>
        <w:t>第</w:t>
      </w:r>
      <w:r>
        <w:rPr>
          <w:rFonts w:hint="eastAsia" w:ascii="微软雅黑" w:hAnsi="微软雅黑" w:eastAsia="微软雅黑" w:cs="微软雅黑"/>
          <w:b/>
          <w:color w:val="000000"/>
          <w:sz w:val="28"/>
          <w:szCs w:val="24"/>
          <w:lang w:val="en-US" w:eastAsia="zh-CN"/>
        </w:rPr>
        <w:t>九</w:t>
      </w:r>
      <w:r>
        <w:rPr>
          <w:rFonts w:hint="eastAsia" w:ascii="微软雅黑" w:hAnsi="微软雅黑" w:eastAsia="微软雅黑" w:cs="微软雅黑"/>
          <w:b/>
          <w:color w:val="000000"/>
          <w:sz w:val="28"/>
          <w:szCs w:val="24"/>
        </w:rPr>
        <w:t>章 村域基础设施规划</w:t>
      </w:r>
      <w:bookmarkEnd w:id="18"/>
      <w:bookmarkEnd w:id="19"/>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条 生活供水设施</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1、预测全村最高日总用水需求量约为</w:t>
      </w:r>
      <w:r>
        <w:rPr>
          <w:rFonts w:hint="eastAsia" w:ascii="微软雅黑" w:hAnsi="微软雅黑" w:eastAsia="微软雅黑" w:cs="微软雅黑"/>
          <w:sz w:val="24"/>
          <w:szCs w:val="24"/>
          <w:lang w:val="en-US" w:eastAsia="zh-CN"/>
        </w:rPr>
        <w:t>110</w:t>
      </w:r>
      <w:r>
        <w:rPr>
          <w:rFonts w:hint="eastAsia" w:ascii="微软雅黑" w:hAnsi="微软雅黑" w:eastAsia="微软雅黑" w:cs="微软雅黑"/>
          <w:sz w:val="24"/>
          <w:szCs w:val="24"/>
        </w:rPr>
        <w:t>立方米/日。</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2、生活用水采用集中与分散供水相结合的方式。</w:t>
      </w:r>
      <w:r>
        <w:rPr>
          <w:rFonts w:hint="eastAsia" w:ascii="微软雅黑" w:hAnsi="微软雅黑" w:eastAsia="微软雅黑" w:cs="微软雅黑"/>
          <w:sz w:val="24"/>
          <w:szCs w:val="24"/>
          <w:lang w:eastAsia="zh-CN"/>
        </w:rPr>
        <w:t>沿主村道两侧</w:t>
      </w:r>
      <w:r>
        <w:rPr>
          <w:rFonts w:hint="eastAsia" w:ascii="微软雅黑" w:hAnsi="微软雅黑" w:eastAsia="微软雅黑" w:cs="微软雅黑"/>
          <w:sz w:val="24"/>
          <w:szCs w:val="24"/>
        </w:rPr>
        <w:t>和靠近集中供水系统的村民由集中供水系统供水，距集中供水系统较远</w:t>
      </w:r>
      <w:r>
        <w:rPr>
          <w:rFonts w:hint="eastAsia" w:ascii="微软雅黑" w:hAnsi="微软雅黑" w:eastAsia="微软雅黑" w:cs="微软雅黑"/>
          <w:sz w:val="24"/>
          <w:szCs w:val="24"/>
          <w:lang w:eastAsia="zh-CN"/>
        </w:rPr>
        <w:t>和交通不便的</w:t>
      </w:r>
      <w:r>
        <w:rPr>
          <w:rFonts w:hint="eastAsia" w:ascii="微软雅黑" w:hAnsi="微软雅黑" w:eastAsia="微软雅黑" w:cs="微软雅黑"/>
          <w:sz w:val="24"/>
          <w:szCs w:val="24"/>
        </w:rPr>
        <w:t>村民则仍使用地下水和山泉水为生活用水水源。</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3、村内集中供水管网采用环状与树枝式结合的方式。</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4、水源取水点周围30米区域为饮用水源保护区域，在保护区域内禁止下列行为：清洗装贮过有毒有害物品的容器；使用高残留或剧毒农药；排放工业污水；修建饲养场、厕所和堆放垃圾。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四</w:t>
      </w:r>
      <w:r>
        <w:rPr>
          <w:rFonts w:hint="eastAsia" w:ascii="微软雅黑" w:hAnsi="微软雅黑" w:eastAsia="微软雅黑" w:cs="微软雅黑"/>
          <w:b/>
          <w:sz w:val="24"/>
          <w:szCs w:val="24"/>
        </w:rPr>
        <w:t>条 污水处理</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1、预测全村最高日污水总量约为</w:t>
      </w:r>
      <w:r>
        <w:rPr>
          <w:rFonts w:hint="eastAsia" w:ascii="微软雅黑" w:hAnsi="微软雅黑" w:eastAsia="微软雅黑" w:cs="微软雅黑"/>
          <w:color w:val="auto"/>
          <w:sz w:val="24"/>
          <w:szCs w:val="24"/>
          <w:lang w:val="en-US" w:eastAsia="zh-CN"/>
        </w:rPr>
        <w:t>88</w:t>
      </w:r>
      <w:r>
        <w:rPr>
          <w:rFonts w:hint="eastAsia" w:ascii="微软雅黑" w:hAnsi="微软雅黑" w:eastAsia="微软雅黑" w:cs="微软雅黑"/>
          <w:sz w:val="24"/>
          <w:szCs w:val="24"/>
          <w:lang w:val="en-US" w:eastAsia="zh-CN"/>
        </w:rPr>
        <w:t>立方米/日。</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2、生活污水处理宜采用集中与分散相结合的方式。集中居民点的生活污水宜结合农村沼气建设集中处理排放。</w:t>
      </w:r>
    </w:p>
    <w:p>
      <w:pPr>
        <w:pStyle w:val="49"/>
        <w:spacing w:line="360" w:lineRule="auto"/>
        <w:ind w:firstLine="48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3、生活污水处理宜采用操作简单、运行维护方便、经济可行的生物处理工艺。污水处理设施的位置应选在集中居民点的下游，靠近受纳水体或农田灌溉区。</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4、村内企业生活废水必须自行处理、达标排放。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五</w:t>
      </w:r>
      <w:r>
        <w:rPr>
          <w:rFonts w:hint="eastAsia" w:ascii="微软雅黑" w:hAnsi="微软雅黑" w:eastAsia="微软雅黑" w:cs="微软雅黑"/>
          <w:b/>
          <w:sz w:val="24"/>
          <w:szCs w:val="24"/>
        </w:rPr>
        <w:t>条 供电</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1、预测全村总用电负荷约为</w:t>
      </w:r>
      <w:r>
        <w:rPr>
          <w:rFonts w:hint="eastAsia" w:ascii="微软雅黑" w:hAnsi="微软雅黑" w:eastAsia="微软雅黑" w:cs="微软雅黑"/>
          <w:color w:val="auto"/>
          <w:sz w:val="24"/>
          <w:szCs w:val="24"/>
          <w:lang w:val="en-US" w:eastAsia="zh-CN"/>
        </w:rPr>
        <w:t>80-120</w:t>
      </w:r>
      <w:r>
        <w:rPr>
          <w:rFonts w:hint="eastAsia" w:ascii="微软雅黑" w:hAnsi="微软雅黑" w:eastAsia="微软雅黑" w:cs="微软雅黑"/>
          <w:color w:val="auto"/>
          <w:sz w:val="24"/>
          <w:szCs w:val="24"/>
        </w:rPr>
        <w:t>千</w:t>
      </w:r>
      <w:r>
        <w:rPr>
          <w:rFonts w:hint="eastAsia" w:ascii="微软雅黑" w:hAnsi="微软雅黑" w:eastAsia="微软雅黑" w:cs="微软雅黑"/>
          <w:sz w:val="24"/>
          <w:szCs w:val="24"/>
        </w:rPr>
        <w:t>瓦。</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骆马村</w:t>
      </w:r>
      <w:r>
        <w:rPr>
          <w:rFonts w:hint="eastAsia" w:ascii="微软雅黑" w:hAnsi="微软雅黑" w:eastAsia="微软雅黑" w:cs="微软雅黑"/>
          <w:sz w:val="24"/>
          <w:szCs w:val="24"/>
        </w:rPr>
        <w:t>由</w:t>
      </w:r>
      <w:r>
        <w:rPr>
          <w:rFonts w:hint="eastAsia" w:ascii="微软雅黑" w:hAnsi="微软雅黑" w:eastAsia="微软雅黑" w:cs="微软雅黑"/>
          <w:sz w:val="24"/>
          <w:szCs w:val="24"/>
          <w:lang w:eastAsia="zh-CN"/>
        </w:rPr>
        <w:t>福禄</w:t>
      </w:r>
      <w:r>
        <w:rPr>
          <w:rFonts w:hint="eastAsia" w:ascii="微软雅黑" w:hAnsi="微软雅黑" w:eastAsia="微软雅黑" w:cs="微软雅黑"/>
          <w:sz w:val="24"/>
          <w:szCs w:val="24"/>
        </w:rPr>
        <w:t>供电</w:t>
      </w:r>
      <w:r>
        <w:rPr>
          <w:rFonts w:hint="eastAsia" w:ascii="微软雅黑" w:hAnsi="微软雅黑" w:eastAsia="微软雅黑" w:cs="微软雅黑"/>
          <w:sz w:val="24"/>
          <w:szCs w:val="24"/>
          <w:lang w:eastAsia="zh-CN"/>
        </w:rPr>
        <w:t>所</w:t>
      </w:r>
      <w:r>
        <w:rPr>
          <w:rFonts w:hint="eastAsia" w:ascii="微软雅黑" w:hAnsi="微软雅黑" w:eastAsia="微软雅黑" w:cs="微软雅黑"/>
          <w:sz w:val="24"/>
          <w:szCs w:val="24"/>
        </w:rPr>
        <w:t>供电。</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3、10千伏及以下配电网仍采用树枝式结构，新建线路采用架空敷设。</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4、全村</w:t>
      </w:r>
      <w:r>
        <w:rPr>
          <w:rFonts w:hint="eastAsia" w:ascii="微软雅黑" w:hAnsi="微软雅黑" w:eastAsia="微软雅黑" w:cs="微软雅黑"/>
          <w:sz w:val="24"/>
          <w:szCs w:val="24"/>
          <w:lang w:eastAsia="zh-CN"/>
        </w:rPr>
        <w:t>现有共</w:t>
      </w:r>
      <w:r>
        <w:rPr>
          <w:rFonts w:hint="eastAsia" w:ascii="微软雅黑" w:hAnsi="微软雅黑" w:eastAsia="微软雅黑" w:cs="微软雅黑"/>
          <w:sz w:val="24"/>
          <w:szCs w:val="24"/>
        </w:rPr>
        <w:t>配置</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台</w:t>
      </w:r>
      <w:r>
        <w:rPr>
          <w:rFonts w:hint="eastAsia" w:ascii="微软雅黑" w:hAnsi="微软雅黑" w:eastAsia="微软雅黑" w:cs="微软雅黑"/>
          <w:color w:val="auto"/>
          <w:sz w:val="24"/>
          <w:szCs w:val="24"/>
        </w:rPr>
        <w:t>10</w:t>
      </w:r>
      <w:r>
        <w:rPr>
          <w:rFonts w:hint="eastAsia" w:ascii="微软雅黑" w:hAnsi="微软雅黑" w:eastAsia="微软雅黑" w:cs="微软雅黑"/>
          <w:sz w:val="24"/>
          <w:szCs w:val="24"/>
        </w:rPr>
        <w:t>千伏配电变压器</w:t>
      </w:r>
      <w:r>
        <w:rPr>
          <w:rFonts w:hint="eastAsia" w:ascii="微软雅黑" w:hAnsi="微软雅黑" w:eastAsia="微软雅黑" w:cs="微软雅黑"/>
          <w:sz w:val="24"/>
          <w:szCs w:val="24"/>
          <w:lang w:eastAsia="zh-CN"/>
        </w:rPr>
        <w:t>，无新增变压器的需求</w:t>
      </w:r>
      <w:r>
        <w:rPr>
          <w:rFonts w:hint="eastAsia" w:ascii="微软雅黑" w:hAnsi="微软雅黑" w:eastAsia="微软雅黑" w:cs="微软雅黑"/>
          <w:sz w:val="24"/>
          <w:szCs w:val="24"/>
        </w:rPr>
        <w:t>。</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六</w:t>
      </w:r>
      <w:r>
        <w:rPr>
          <w:rFonts w:hint="eastAsia" w:ascii="微软雅黑" w:hAnsi="微软雅黑" w:eastAsia="微软雅黑" w:cs="微软雅黑"/>
          <w:b/>
          <w:sz w:val="24"/>
          <w:szCs w:val="24"/>
        </w:rPr>
        <w:t>条 广播、电视、通信</w:t>
      </w:r>
    </w:p>
    <w:p>
      <w:pPr>
        <w:spacing w:line="360" w:lineRule="auto"/>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1、预测全村固话需求量约为</w:t>
      </w:r>
      <w:r>
        <w:rPr>
          <w:rFonts w:hint="eastAsia" w:ascii="微软雅黑" w:hAnsi="微软雅黑" w:eastAsia="微软雅黑" w:cs="微软雅黑"/>
          <w:color w:val="auto"/>
          <w:sz w:val="24"/>
          <w:szCs w:val="24"/>
          <w:lang w:val="en-US" w:eastAsia="zh-CN"/>
        </w:rPr>
        <w:t>276</w:t>
      </w:r>
      <w:r>
        <w:rPr>
          <w:rFonts w:hint="eastAsia" w:ascii="微软雅黑" w:hAnsi="微软雅黑" w:eastAsia="微软雅黑" w:cs="微软雅黑"/>
          <w:color w:val="auto"/>
          <w:sz w:val="24"/>
          <w:szCs w:val="24"/>
        </w:rPr>
        <w:t>门。</w:t>
      </w:r>
    </w:p>
    <w:p>
      <w:pPr>
        <w:spacing w:line="360" w:lineRule="auto"/>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2、大力发展各种先进通信业务，促进农村信息化建设，加快实施宽带网入户工程，逐步实现广播、有线电视、宽带等多网合一。靠近村委会设置1个通信接入网点，交换设备容量按</w:t>
      </w:r>
      <w:r>
        <w:rPr>
          <w:rFonts w:hint="eastAsia" w:ascii="微软雅黑" w:hAnsi="微软雅黑" w:eastAsia="微软雅黑" w:cs="微软雅黑"/>
          <w:color w:val="auto"/>
          <w:sz w:val="24"/>
          <w:szCs w:val="24"/>
          <w:lang w:val="en-US" w:eastAsia="zh-CN"/>
        </w:rPr>
        <w:t>280</w:t>
      </w:r>
      <w:r>
        <w:rPr>
          <w:rFonts w:hint="eastAsia" w:ascii="微软雅黑" w:hAnsi="微软雅黑" w:eastAsia="微软雅黑" w:cs="微软雅黑"/>
          <w:color w:val="auto"/>
          <w:sz w:val="24"/>
          <w:szCs w:val="24"/>
        </w:rPr>
        <w:t>门考虑。</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3、在村公共活动中心内附设村广播站，负责对村民广播。</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4、村内通信线路采用架空敷设，广播、有线电视、固话、宽带等通信线路随着村集中居民点的建设，应逐步实现同杆架设，在新建集中居民点内可考虑统一下地敷设。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七</w:t>
      </w:r>
      <w:r>
        <w:rPr>
          <w:rFonts w:hint="eastAsia" w:ascii="微软雅黑" w:hAnsi="微软雅黑" w:eastAsia="微软雅黑" w:cs="微软雅黑"/>
          <w:b/>
          <w:sz w:val="24"/>
          <w:szCs w:val="24"/>
        </w:rPr>
        <w:t>条 生活燃料供应</w:t>
      </w:r>
    </w:p>
    <w:p>
      <w:pPr>
        <w:spacing w:line="360" w:lineRule="auto"/>
        <w:ind w:firstLine="420"/>
        <w:rPr>
          <w:rFonts w:hint="eastAsia" w:ascii="微软雅黑" w:hAnsi="微软雅黑" w:eastAsia="微软雅黑" w:cs="微软雅黑"/>
          <w:sz w:val="24"/>
          <w:szCs w:val="24"/>
        </w:rPr>
      </w:pPr>
      <w:bookmarkStart w:id="20" w:name="_Toc488239692"/>
      <w:r>
        <w:rPr>
          <w:rFonts w:hint="eastAsia" w:ascii="微软雅黑" w:hAnsi="微软雅黑" w:eastAsia="微软雅黑" w:cs="微软雅黑"/>
          <w:sz w:val="24"/>
          <w:szCs w:val="24"/>
        </w:rPr>
        <w:t>1、宜按因地制宜地选择多元化、集中与分散供给相结合、政府引导与本地积极建设相结合的原则保障村民生活燃料供应。</w:t>
      </w:r>
      <w:r>
        <w:rPr>
          <w:rFonts w:hint="eastAsia" w:ascii="微软雅黑" w:hAnsi="微软雅黑" w:eastAsia="微软雅黑" w:cs="微软雅黑"/>
          <w:sz w:val="24"/>
          <w:szCs w:val="24"/>
          <w:lang w:eastAsia="zh-CN"/>
        </w:rPr>
        <w:t>规划沿碧七路和主村道铺设燃气管，改善农村能源使用条件，</w:t>
      </w:r>
      <w:r>
        <w:rPr>
          <w:rFonts w:hint="eastAsia" w:ascii="微软雅黑" w:hAnsi="微软雅黑" w:eastAsia="微软雅黑" w:cs="微软雅黑"/>
          <w:sz w:val="24"/>
          <w:szCs w:val="24"/>
        </w:rPr>
        <w:t>推广太阳能等清洁能源的使用，</w:t>
      </w:r>
      <w:r>
        <w:rPr>
          <w:rFonts w:hint="eastAsia" w:ascii="微软雅黑" w:hAnsi="微软雅黑" w:eastAsia="微软雅黑" w:cs="微软雅黑"/>
          <w:sz w:val="24"/>
          <w:szCs w:val="24"/>
          <w:lang w:eastAsia="zh-CN"/>
        </w:rPr>
        <w:t>同时</w:t>
      </w:r>
      <w:r>
        <w:rPr>
          <w:rFonts w:hint="eastAsia" w:ascii="微软雅黑" w:hAnsi="微软雅黑" w:eastAsia="微软雅黑" w:cs="微软雅黑"/>
          <w:sz w:val="24"/>
          <w:szCs w:val="24"/>
        </w:rPr>
        <w:t>结合垃圾、粪便、桔杆等有机废物的生化处理，因地制宜地搞好分散式或相对集中式的沼气池建设，变废为宝，综合利用。</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沼气的推广应切合实际，先满足积极性高、有条件的农户，尤其应将村民集中居民点和养殖大户摆在优先发展的位置，防止一哄而上，造成资源浪费。目前应先启动农民新居规划区内的沼气建设。规划远期在有条件的集中居民点发展管道</w:t>
      </w:r>
      <w:r>
        <w:rPr>
          <w:rFonts w:hint="eastAsia" w:ascii="微软雅黑" w:hAnsi="微软雅黑" w:eastAsia="微软雅黑" w:cs="微软雅黑"/>
          <w:sz w:val="24"/>
          <w:szCs w:val="24"/>
          <w:lang w:eastAsia="zh-CN"/>
        </w:rPr>
        <w:t>天然</w:t>
      </w:r>
      <w:r>
        <w:rPr>
          <w:rFonts w:hint="eastAsia" w:ascii="微软雅黑" w:hAnsi="微软雅黑" w:eastAsia="微软雅黑" w:cs="微软雅黑"/>
          <w:sz w:val="24"/>
          <w:szCs w:val="24"/>
        </w:rPr>
        <w:t>气。</w:t>
      </w:r>
    </w:p>
    <w:p>
      <w:pPr>
        <w:spacing w:line="360" w:lineRule="auto"/>
        <w:jc w:val="center"/>
        <w:outlineLvl w:val="0"/>
        <w:rPr>
          <w:rFonts w:hint="eastAsia" w:ascii="微软雅黑" w:hAnsi="微软雅黑" w:eastAsia="微软雅黑" w:cs="微软雅黑"/>
          <w:b/>
          <w:color w:val="000000"/>
          <w:sz w:val="28"/>
          <w:szCs w:val="24"/>
        </w:rPr>
      </w:pPr>
      <w:bookmarkStart w:id="21" w:name="_Toc12180"/>
      <w:r>
        <w:rPr>
          <w:rFonts w:hint="eastAsia" w:ascii="微软雅黑" w:hAnsi="微软雅黑" w:eastAsia="微软雅黑" w:cs="微软雅黑"/>
          <w:b/>
          <w:color w:val="000000"/>
          <w:sz w:val="28"/>
          <w:szCs w:val="24"/>
        </w:rPr>
        <w:t>第</w:t>
      </w:r>
      <w:r>
        <w:rPr>
          <w:rFonts w:hint="eastAsia" w:ascii="微软雅黑" w:hAnsi="微软雅黑" w:eastAsia="微软雅黑" w:cs="微软雅黑"/>
          <w:b/>
          <w:color w:val="000000"/>
          <w:sz w:val="28"/>
          <w:szCs w:val="24"/>
          <w:lang w:eastAsia="zh-CN"/>
        </w:rPr>
        <w:t>十</w:t>
      </w:r>
      <w:r>
        <w:rPr>
          <w:rFonts w:hint="eastAsia" w:ascii="微软雅黑" w:hAnsi="微软雅黑" w:eastAsia="微软雅黑" w:cs="微软雅黑"/>
          <w:b/>
          <w:color w:val="000000"/>
          <w:sz w:val="28"/>
          <w:szCs w:val="24"/>
        </w:rPr>
        <w:t>章 村域生态环境保护</w:t>
      </w:r>
      <w:bookmarkEnd w:id="20"/>
      <w:bookmarkEnd w:id="21"/>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三</w:t>
      </w:r>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eastAsia="zh-CN"/>
        </w:rPr>
        <w:t>八</w:t>
      </w:r>
      <w:r>
        <w:rPr>
          <w:rFonts w:hint="eastAsia" w:ascii="微软雅黑" w:hAnsi="微软雅黑" w:eastAsia="微软雅黑" w:cs="微软雅黑"/>
          <w:b/>
          <w:sz w:val="24"/>
          <w:szCs w:val="24"/>
        </w:rPr>
        <w:t>条 村域生态环境保护</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1.环境保护总体要求</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落实节约优先、保护优先、自然恢复为主的方针，统筹山水林田湖草系统治理，加强农村突出环境问题综合治理，严守生态保护红线，增强农业生态产品供给，提高农业生态服务能力，推进乡村自然资本加快增值。</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2.环境保护原则</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坚持“可持续发展”原则，贯彻环境建设与经济建设同步规划、同步实施、同步发展的方针，调整能源结构，改造生产方式；明确环境质量目标，完善功能分区，合理布局，实行排放污染物总量控制、强化环境管理等措施，保持村域良好的环境质量。</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（2）生态优先，保护与利用相结合，将生态环境保护放在首位，强调村生产建设与生态环境的和谐统一，整合自然景观资源，建设可持续发展的绿色生态乡村。</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3.环境保护目标</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（1）大气环境保护目标</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骆马</w:t>
      </w:r>
      <w:r>
        <w:rPr>
          <w:rFonts w:hint="eastAsia" w:ascii="微软雅黑" w:hAnsi="微软雅黑" w:eastAsia="微软雅黑" w:cs="微软雅黑"/>
          <w:sz w:val="24"/>
          <w:szCs w:val="24"/>
        </w:rPr>
        <w:t>村大气环境整体上应保持在国家大气环境质量二级及以上标准。</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（2）水环境目标</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村内地表水水质应保持在国家地表水三类及以上标准。</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（3）三废控制和治理目标</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做好三废控制和治理，使固体废弃物综合处理率及垃圾无害化处理率得到有效降低。</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（4）噪声目标</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各类环境噪声执行《声环境质量标准》（GB3096-2008）标准。</w:t>
      </w:r>
    </w:p>
    <w:p>
      <w:pPr>
        <w:spacing w:line="360" w:lineRule="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第</w:t>
      </w:r>
      <w:r>
        <w:rPr>
          <w:rFonts w:hint="eastAsia" w:ascii="微软雅黑" w:hAnsi="微软雅黑" w:eastAsia="微软雅黑" w:cs="微软雅黑"/>
          <w:b/>
          <w:sz w:val="24"/>
          <w:szCs w:val="24"/>
          <w:highlight w:val="none"/>
          <w:lang w:eastAsia="zh-CN"/>
        </w:rPr>
        <w:t>三十九</w:t>
      </w:r>
      <w:r>
        <w:rPr>
          <w:rFonts w:hint="eastAsia" w:ascii="微软雅黑" w:hAnsi="微软雅黑" w:eastAsia="微软雅黑" w:cs="微软雅黑"/>
          <w:b/>
          <w:sz w:val="24"/>
          <w:szCs w:val="24"/>
          <w:highlight w:val="none"/>
        </w:rPr>
        <w:t>条 农村环境综合整治规划</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持续改善农村人居环境。实施农村人居环境整治三年行动计划，以农村垃圾、污水治理和村容村貌提升为主攻方向，整合各种资源，强化各种举措，稳步有序推进农村人居环境突出问题治理。</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1.建筑整治</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对村域建筑进行分期整治，以</w:t>
      </w:r>
      <w:r>
        <w:rPr>
          <w:rFonts w:hint="eastAsia" w:ascii="微软雅黑" w:hAnsi="微软雅黑" w:eastAsia="微软雅黑" w:cs="微软雅黑"/>
          <w:sz w:val="24"/>
          <w:szCs w:val="24"/>
          <w:highlight w:val="none"/>
          <w:lang w:eastAsia="zh-CN"/>
        </w:rPr>
        <w:t>村委会附近</w:t>
      </w:r>
      <w:r>
        <w:rPr>
          <w:rFonts w:hint="eastAsia" w:ascii="微软雅黑" w:hAnsi="微软雅黑" w:eastAsia="微软雅黑" w:cs="微软雅黑"/>
          <w:sz w:val="24"/>
          <w:szCs w:val="24"/>
          <w:highlight w:val="none"/>
        </w:rPr>
        <w:t>建筑为第一期，余下区域为二期。规划根据“政府引导、农民自愿、规划先行、政策聚焦、因地制宜、稳步推进”的原则，根据建筑质量和建筑风格进行分类整治。</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2.庭院周边整治</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对院落周边的林盘地进行清理，清除杂树、杂草，补种景观树种，提升整体景观效果，增加生物多样性，改善生态环境。</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通过对院落庭院修建花台、添置景观小品、搭配花草、整治院坝，体现农家小院休闲、舒适的氛围。</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为提高院落与外部的便捷和内部的通畅性、在庭院内配必要的道路以满足农民生产生活的需要、道路宽度0.8-2.0米，根据功能用途的不同，可选择透水砖、石板、碎石等材质。</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为提高农村休闲娱乐等配套休闲设施，为理顺院落内部排水体系，配设生态排水沟等设施，为提升环境、配套垃圾桶、垃圾箱、污水处理装置等。</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3.道路及路旁绿化整治</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在</w:t>
      </w:r>
      <w:r>
        <w:rPr>
          <w:rFonts w:hint="eastAsia" w:ascii="微软雅黑" w:hAnsi="微软雅黑" w:eastAsia="微软雅黑" w:cs="微软雅黑"/>
          <w:sz w:val="24"/>
          <w:szCs w:val="24"/>
          <w:highlight w:val="none"/>
          <w:lang w:eastAsia="zh-CN"/>
        </w:rPr>
        <w:t>主村道</w:t>
      </w:r>
      <w:r>
        <w:rPr>
          <w:rFonts w:hint="eastAsia" w:ascii="微软雅黑" w:hAnsi="微软雅黑" w:eastAsia="微软雅黑" w:cs="微软雅黑"/>
          <w:sz w:val="24"/>
          <w:szCs w:val="24"/>
          <w:highlight w:val="none"/>
        </w:rPr>
        <w:t>沿线种植景观性行道树或经果树，</w:t>
      </w:r>
      <w:r>
        <w:rPr>
          <w:rFonts w:hint="eastAsia" w:ascii="微软雅黑" w:hAnsi="微软雅黑" w:eastAsia="微软雅黑" w:cs="微软雅黑"/>
          <w:sz w:val="24"/>
          <w:szCs w:val="24"/>
          <w:highlight w:val="none"/>
          <w:lang w:eastAsia="zh-CN"/>
        </w:rPr>
        <w:t>并对村级</w:t>
      </w:r>
      <w:r>
        <w:rPr>
          <w:rFonts w:hint="eastAsia" w:ascii="微软雅黑" w:hAnsi="微软雅黑" w:eastAsia="微软雅黑" w:cs="微软雅黑"/>
          <w:sz w:val="24"/>
          <w:szCs w:val="24"/>
          <w:highlight w:val="none"/>
        </w:rPr>
        <w:t>道路两旁边坡进行整治，采用绿化覆盖。</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4.环境家具整治</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在村庄入口区域、村内的绿化节点以及部分主要建筑的院落设置树池。在村内设置垃圾收集点，基本以自然村落来布置。在主要村道、节点及村庄内部均匀设置垃圾桶，平均100-200米设置一个。在规划集中居民点以及大院子区域内设置市政路灯，主要村道每隔25-30米设置一盏。建议使用太阳能节能灯，造型力求简单、简练。</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5</w:t>
      </w:r>
      <w:r>
        <w:rPr>
          <w:rFonts w:hint="eastAsia" w:ascii="微软雅黑" w:hAnsi="微软雅黑" w:eastAsia="微软雅黑" w:cs="微软雅黑"/>
          <w:sz w:val="24"/>
          <w:szCs w:val="24"/>
          <w:highlight w:val="none"/>
        </w:rPr>
        <w:t>.厕所整治</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坚持不懈推进农村“厕所革命”，大力开展农村户用卫生厕所建设和改造，同步实施粪污治理，加快实现农村无害化卫生厕所全覆盖。</w:t>
      </w:r>
    </w:p>
    <w:p>
      <w:pPr>
        <w:spacing w:line="360" w:lineRule="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第</w:t>
      </w:r>
      <w:r>
        <w:rPr>
          <w:rFonts w:hint="eastAsia" w:ascii="微软雅黑" w:hAnsi="微软雅黑" w:eastAsia="微软雅黑" w:cs="微软雅黑"/>
          <w:b/>
          <w:sz w:val="24"/>
          <w:szCs w:val="24"/>
          <w:highlight w:val="none"/>
          <w:lang w:eastAsia="zh-CN"/>
        </w:rPr>
        <w:t>四十</w:t>
      </w:r>
      <w:r>
        <w:rPr>
          <w:rFonts w:hint="eastAsia" w:ascii="微软雅黑" w:hAnsi="微软雅黑" w:eastAsia="微软雅黑" w:cs="微软雅黑"/>
          <w:b/>
          <w:sz w:val="24"/>
          <w:szCs w:val="24"/>
          <w:highlight w:val="none"/>
        </w:rPr>
        <w:t>条 乡村振兴规划</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按照“产业兴旺、生态宜居、乡风文明、治理有效、生活富裕” 的总要求，加快实施乡村振兴战略。</w:t>
      </w:r>
    </w:p>
    <w:p>
      <w:pPr>
        <w:pStyle w:val="49"/>
        <w:spacing w:line="360" w:lineRule="auto"/>
        <w:ind w:firstLine="480"/>
        <w:rPr>
          <w:rFonts w:hint="eastAsia" w:ascii="微软雅黑" w:hAnsi="微软雅黑" w:eastAsia="微软雅黑" w:cs="微软雅黑"/>
          <w:sz w:val="24"/>
          <w:lang w:val="en-US" w:eastAsia="zh-CN"/>
        </w:rPr>
      </w:pPr>
      <w:r>
        <w:rPr>
          <w:rFonts w:hint="eastAsia" w:ascii="微软雅黑" w:hAnsi="微软雅黑" w:eastAsia="微软雅黑" w:cs="微软雅黑"/>
          <w:sz w:val="24"/>
          <w:szCs w:val="24"/>
          <w:highlight w:val="none"/>
        </w:rPr>
        <w:t>（一）产业兴旺：</w:t>
      </w:r>
      <w:r>
        <w:rPr>
          <w:rFonts w:hint="eastAsia" w:ascii="微软雅黑" w:hAnsi="微软雅黑" w:eastAsia="微软雅黑" w:cs="微软雅黑"/>
          <w:sz w:val="24"/>
          <w:lang w:val="en-US" w:eastAsia="zh-CN"/>
        </w:rPr>
        <w:t>依托骆马村环境优势重点发展高效生态农业，创新农业发展模式，积极发展以水稻种植、生态蔬果为主的第一产业。</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二）生态宜居：以“山、水、田、园、林”为基底，加强乡村生态环境保护。按照农村环境综合整治规划，加快推进建筑整治、庭院周边整治、道路及路旁绿化整治、河道整治、环境家具整治和厕所整治等工作，进一步改善农村道路、电力、电信、给水、排水、能源等基础设施，以及基础教育、医疗卫生、文化体育、社会福利等公共服务设施，改善生活居住环境。</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（三）乡风文明：培育乡村特色文化，开展多种形式的民俗活动，举办农耕节、品果节等文化节庆活动，宣扬勤劳节俭、敬老孝亲的文明乡风。 </w:t>
      </w:r>
    </w:p>
    <w:p>
      <w:pPr>
        <w:spacing w:line="360" w:lineRule="auto"/>
        <w:ind w:firstLine="42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（四）治理有效：推行网格化管理，构建“村—网格—组社—村民”的网络组织体系；进一步完善村民自治制度，坚持扩大宣传，树立村民自治正确观念。成立村股份经济合作社，推进集体产权制度改革。</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rPr>
        <w:t>（五）生活富裕：通过产业结构调整、集体产权改革、政策支持、教育培训、乡村旅游发展、农村电商等多途径增加村民收入，实现共同富裕。</w:t>
      </w:r>
    </w:p>
    <w:p>
      <w:pPr>
        <w:spacing w:line="360" w:lineRule="auto"/>
        <w:jc w:val="center"/>
        <w:outlineLvl w:val="0"/>
        <w:rPr>
          <w:rFonts w:hint="eastAsia" w:ascii="微软雅黑" w:hAnsi="微软雅黑" w:eastAsia="微软雅黑" w:cs="微软雅黑"/>
          <w:b/>
          <w:color w:val="000000"/>
          <w:sz w:val="28"/>
          <w:szCs w:val="24"/>
        </w:rPr>
      </w:pPr>
      <w:bookmarkStart w:id="22" w:name="_Toc4804"/>
      <w:bookmarkStart w:id="23" w:name="_Toc488239695"/>
      <w:r>
        <w:rPr>
          <w:rFonts w:hint="eastAsia" w:ascii="微软雅黑" w:hAnsi="微软雅黑" w:eastAsia="微软雅黑" w:cs="微软雅黑"/>
          <w:b/>
          <w:color w:val="000000"/>
          <w:sz w:val="28"/>
          <w:szCs w:val="24"/>
        </w:rPr>
        <w:t>第十</w:t>
      </w:r>
      <w:r>
        <w:rPr>
          <w:rFonts w:hint="eastAsia" w:ascii="微软雅黑" w:hAnsi="微软雅黑" w:eastAsia="微软雅黑" w:cs="微软雅黑"/>
          <w:b/>
          <w:color w:val="000000"/>
          <w:sz w:val="28"/>
          <w:szCs w:val="24"/>
          <w:lang w:eastAsia="zh-CN"/>
        </w:rPr>
        <w:t>一</w:t>
      </w:r>
      <w:r>
        <w:rPr>
          <w:rFonts w:hint="eastAsia" w:ascii="微软雅黑" w:hAnsi="微软雅黑" w:eastAsia="微软雅黑" w:cs="微软雅黑"/>
          <w:b/>
          <w:color w:val="000000"/>
          <w:sz w:val="28"/>
          <w:szCs w:val="24"/>
        </w:rPr>
        <w:t>章 防灾减灾</w:t>
      </w:r>
      <w:bookmarkEnd w:id="22"/>
      <w:bookmarkEnd w:id="23"/>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四十一</w:t>
      </w:r>
      <w:r>
        <w:rPr>
          <w:rFonts w:hint="eastAsia" w:ascii="微软雅黑" w:hAnsi="微软雅黑" w:eastAsia="微软雅黑" w:cs="微软雅黑"/>
          <w:b/>
          <w:sz w:val="24"/>
          <w:szCs w:val="24"/>
        </w:rPr>
        <w:t>条 防震抗震</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lang w:val="en-GB"/>
        </w:rPr>
        <w:t>贯彻“预防为主，防、避、救相结合”的防震方针，对不安全的建筑要进行加固或拆迁。</w:t>
      </w:r>
      <w:r>
        <w:rPr>
          <w:rFonts w:hint="eastAsia" w:ascii="微软雅黑" w:hAnsi="微软雅黑" w:eastAsia="微软雅黑" w:cs="微软雅黑"/>
          <w:sz w:val="24"/>
        </w:rPr>
        <w:t>村</w:t>
      </w:r>
      <w:r>
        <w:rPr>
          <w:rFonts w:hint="eastAsia" w:ascii="微软雅黑" w:hAnsi="微软雅黑" w:eastAsia="微软雅黑" w:cs="微软雅黑"/>
          <w:sz w:val="24"/>
          <w:lang w:val="en-GB"/>
        </w:rPr>
        <w:t>域所有建筑物按6度设防，重要建筑物和生命线工程按7度设防，建议所有农房建设增设圈梁。</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四十二</w:t>
      </w:r>
      <w:r>
        <w:rPr>
          <w:rFonts w:hint="eastAsia" w:ascii="微软雅黑" w:hAnsi="微软雅黑" w:eastAsia="微软雅黑" w:cs="微软雅黑"/>
          <w:b/>
          <w:sz w:val="24"/>
          <w:szCs w:val="24"/>
        </w:rPr>
        <w:t>条 防气象灾害</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加强气象灾害预测、预报和预防工作，对村民进行气象灾害相关知识培训。集中居民点所有建构筑单体，必须按防雷规范进行设计，设置安全的避雷装置。并采取必要的抗风措施。</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四十三</w:t>
      </w:r>
      <w:r>
        <w:rPr>
          <w:rFonts w:hint="eastAsia" w:ascii="微软雅黑" w:hAnsi="微软雅黑" w:eastAsia="微软雅黑" w:cs="微软雅黑"/>
          <w:b/>
          <w:sz w:val="24"/>
          <w:szCs w:val="24"/>
        </w:rPr>
        <w:t>条 防洪</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加强溪河两侧及山地的绿化带建设，根据实际情况对塘堤加固、加高。集中居民点按照十年一遇洪水标准设防，规划主要采用截洪渠为排水防洪系统，加强对山洪的防范。</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四十四</w:t>
      </w:r>
      <w:r>
        <w:rPr>
          <w:rFonts w:hint="eastAsia" w:ascii="微软雅黑" w:hAnsi="微软雅黑" w:eastAsia="微软雅黑" w:cs="微软雅黑"/>
          <w:b/>
          <w:sz w:val="24"/>
          <w:szCs w:val="24"/>
        </w:rPr>
        <w:t>条 防地质灾害</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对</w:t>
      </w:r>
      <w:r>
        <w:rPr>
          <w:rFonts w:hint="eastAsia" w:ascii="微软雅黑" w:hAnsi="微软雅黑" w:eastAsia="微软雅黑" w:cs="微软雅黑"/>
          <w:sz w:val="24"/>
          <w:lang w:eastAsia="zh-CN"/>
        </w:rPr>
        <w:t>村内</w:t>
      </w:r>
      <w:r>
        <w:rPr>
          <w:rFonts w:hint="eastAsia" w:ascii="微软雅黑" w:hAnsi="微软雅黑" w:eastAsia="微软雅黑" w:cs="微软雅黑"/>
          <w:sz w:val="24"/>
        </w:rPr>
        <w:t>建设</w:t>
      </w:r>
      <w:r>
        <w:rPr>
          <w:rFonts w:hint="eastAsia" w:ascii="微软雅黑" w:hAnsi="微软雅黑" w:eastAsia="微软雅黑" w:cs="微软雅黑"/>
          <w:sz w:val="24"/>
          <w:lang w:eastAsia="zh-CN"/>
        </w:rPr>
        <w:t>活动</w:t>
      </w:r>
      <w:r>
        <w:rPr>
          <w:rFonts w:hint="eastAsia" w:ascii="微软雅黑" w:hAnsi="微软雅黑" w:eastAsia="微软雅黑" w:cs="微软雅黑"/>
          <w:sz w:val="24"/>
        </w:rPr>
        <w:t>同步进行地质灾害评估，所有工程项目均应在进行地质勘察和进行工程建设危险性评估后方可建设，所有建设区严禁在地质灾害危险区进行建设。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四十五</w:t>
      </w:r>
      <w:r>
        <w:rPr>
          <w:rFonts w:hint="eastAsia" w:ascii="微软雅黑" w:hAnsi="微软雅黑" w:eastAsia="微软雅黑" w:cs="微软雅黑"/>
          <w:b/>
          <w:sz w:val="24"/>
          <w:szCs w:val="24"/>
        </w:rPr>
        <w:t>条 消防</w:t>
      </w:r>
    </w:p>
    <w:p>
      <w:pPr>
        <w:spacing w:line="360" w:lineRule="auto"/>
        <w:ind w:firstLine="420"/>
        <w:rPr>
          <w:rFonts w:hint="eastAsia" w:ascii="微软雅黑" w:hAnsi="微软雅黑" w:eastAsia="微软雅黑" w:cs="微软雅黑"/>
          <w:sz w:val="24"/>
        </w:rPr>
      </w:pPr>
      <w:r>
        <w:rPr>
          <w:rFonts w:hint="eastAsia" w:ascii="微软雅黑" w:hAnsi="微软雅黑" w:eastAsia="微软雅黑" w:cs="微软雅黑"/>
          <w:sz w:val="24"/>
        </w:rPr>
        <w:t>消防水源以村供水设施为主，堰塘、水池等地表水为辅，将靠近集中居民点的山坪塘纳入消防水源进行管理。逐步建设现代化的火警报警设施，在集中居民点等公共活动密集区设置室外消防栓，间距不大于120米。</w:t>
      </w:r>
    </w:p>
    <w:p>
      <w:pPr>
        <w:spacing w:line="360" w:lineRule="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四十六</w:t>
      </w:r>
      <w:r>
        <w:rPr>
          <w:rFonts w:hint="eastAsia" w:ascii="微软雅黑" w:hAnsi="微软雅黑" w:eastAsia="微软雅黑" w:cs="微软雅黑"/>
          <w:b/>
          <w:sz w:val="24"/>
          <w:szCs w:val="24"/>
        </w:rPr>
        <w:t>条 动植物检验检疫</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rPr>
        <w:t>健全动物防疫检疫监测体系和植物病虫害防控体系，提高农产品质量安全水平，在村级公共服务中心建立动植物检疫点，加强防疫员培训。</w:t>
      </w:r>
    </w:p>
    <w:p>
      <w:pPr>
        <w:spacing w:line="360" w:lineRule="auto"/>
        <w:jc w:val="center"/>
        <w:outlineLvl w:val="0"/>
        <w:rPr>
          <w:rFonts w:hint="eastAsia" w:ascii="微软雅黑" w:hAnsi="微软雅黑" w:eastAsia="微软雅黑" w:cs="微软雅黑"/>
          <w:b/>
          <w:color w:val="000000"/>
          <w:sz w:val="28"/>
          <w:szCs w:val="24"/>
        </w:rPr>
      </w:pPr>
      <w:bookmarkStart w:id="24" w:name="_Toc488239696"/>
      <w:bookmarkStart w:id="25" w:name="_Toc17182"/>
      <w:r>
        <w:rPr>
          <w:rFonts w:hint="eastAsia" w:ascii="微软雅黑" w:hAnsi="微软雅黑" w:eastAsia="微软雅黑" w:cs="微软雅黑"/>
          <w:b/>
          <w:color w:val="000000"/>
          <w:sz w:val="28"/>
          <w:szCs w:val="24"/>
        </w:rPr>
        <w:t>第十</w:t>
      </w:r>
      <w:r>
        <w:rPr>
          <w:rFonts w:hint="eastAsia" w:ascii="微软雅黑" w:hAnsi="微软雅黑" w:eastAsia="微软雅黑" w:cs="微软雅黑"/>
          <w:b/>
          <w:color w:val="000000"/>
          <w:sz w:val="28"/>
          <w:szCs w:val="24"/>
          <w:lang w:eastAsia="zh-CN"/>
        </w:rPr>
        <w:t>二</w:t>
      </w:r>
      <w:r>
        <w:rPr>
          <w:rFonts w:hint="eastAsia" w:ascii="微软雅黑" w:hAnsi="微软雅黑" w:eastAsia="微软雅黑" w:cs="微软雅黑"/>
          <w:b/>
          <w:color w:val="000000"/>
          <w:sz w:val="28"/>
          <w:szCs w:val="24"/>
        </w:rPr>
        <w:t>章 规划分期</w:t>
      </w:r>
      <w:bookmarkEnd w:id="24"/>
      <w:bookmarkEnd w:id="25"/>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四十七</w:t>
      </w:r>
      <w:r>
        <w:rPr>
          <w:rFonts w:hint="eastAsia" w:ascii="微软雅黑" w:hAnsi="微软雅黑" w:eastAsia="微软雅黑" w:cs="微软雅黑"/>
          <w:b/>
          <w:sz w:val="24"/>
          <w:szCs w:val="24"/>
        </w:rPr>
        <w:t>条 近期建设项目</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公路方面</w:t>
      </w:r>
      <w:r>
        <w:rPr>
          <w:rFonts w:hint="eastAsia" w:ascii="微软雅黑" w:hAnsi="微软雅黑" w:eastAsia="微软雅黑" w:cs="微软雅黑"/>
          <w:sz w:val="24"/>
          <w:szCs w:val="24"/>
          <w:lang w:eastAsia="zh-CN"/>
        </w:rPr>
        <w:t>对现状村道</w:t>
      </w:r>
      <w:r>
        <w:rPr>
          <w:rFonts w:hint="eastAsia" w:ascii="微软雅黑" w:hAnsi="微软雅黑" w:eastAsia="微软雅黑" w:cs="微软雅黑"/>
          <w:sz w:val="24"/>
          <w:szCs w:val="24"/>
          <w:lang w:val="en-US" w:eastAsia="zh-CN"/>
        </w:rPr>
        <w:t>提档升级</w:t>
      </w:r>
      <w:r>
        <w:rPr>
          <w:rFonts w:hint="eastAsia" w:ascii="微软雅黑" w:hAnsi="微软雅黑" w:eastAsia="微软雅黑" w:cs="微软雅黑"/>
          <w:sz w:val="24"/>
          <w:szCs w:val="24"/>
        </w:rPr>
        <w:t>，建设各规划</w:t>
      </w:r>
      <w:r>
        <w:rPr>
          <w:rFonts w:hint="eastAsia" w:ascii="微软雅黑" w:hAnsi="微软雅黑" w:eastAsia="微软雅黑" w:cs="微软雅黑"/>
          <w:sz w:val="24"/>
          <w:szCs w:val="24"/>
          <w:lang w:eastAsia="zh-CN"/>
        </w:rPr>
        <w:t>散居</w:t>
      </w:r>
      <w:r>
        <w:rPr>
          <w:rFonts w:hint="eastAsia" w:ascii="微软雅黑" w:hAnsi="微软雅黑" w:eastAsia="微软雅黑" w:cs="微软雅黑"/>
          <w:sz w:val="24"/>
          <w:szCs w:val="24"/>
        </w:rPr>
        <w:t>点道路。林业方面发展经济林</w:t>
      </w:r>
      <w:r>
        <w:rPr>
          <w:rFonts w:hint="eastAsia" w:ascii="微软雅黑" w:hAnsi="微软雅黑" w:eastAsia="微软雅黑" w:cs="微软雅黑"/>
          <w:sz w:val="24"/>
          <w:szCs w:val="24"/>
          <w:lang w:val="en-US" w:eastAsia="zh-CN"/>
        </w:rPr>
        <w:t>和</w:t>
      </w:r>
      <w:r>
        <w:rPr>
          <w:rFonts w:hint="eastAsia" w:ascii="微软雅黑" w:hAnsi="微软雅黑" w:eastAsia="微软雅黑" w:cs="微软雅黑"/>
          <w:sz w:val="24"/>
          <w:szCs w:val="24"/>
        </w:rPr>
        <w:t>经果林。能源方面推广全村沼气池。产业发展方面发展优质水稻</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规模化无公害蔬菜基地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配套完善</w:t>
      </w:r>
      <w:r>
        <w:rPr>
          <w:rFonts w:hint="eastAsia" w:ascii="微软雅黑" w:hAnsi="微软雅黑" w:eastAsia="微软雅黑" w:cs="微软雅黑"/>
          <w:sz w:val="24"/>
          <w:szCs w:val="24"/>
          <w:lang w:eastAsia="zh-CN"/>
        </w:rPr>
        <w:t>村内</w:t>
      </w:r>
      <w:r>
        <w:rPr>
          <w:rFonts w:hint="eastAsia" w:ascii="微软雅黑" w:hAnsi="微软雅黑" w:eastAsia="微软雅黑" w:cs="微软雅黑"/>
          <w:sz w:val="24"/>
          <w:szCs w:val="24"/>
        </w:rPr>
        <w:t>供电</w:t>
      </w:r>
      <w:r>
        <w:rPr>
          <w:rFonts w:hint="eastAsia" w:ascii="微软雅黑" w:hAnsi="微软雅黑" w:eastAsia="微软雅黑" w:cs="微软雅黑"/>
          <w:sz w:val="24"/>
          <w:szCs w:val="24"/>
          <w:lang w:eastAsia="zh-CN"/>
        </w:rPr>
        <w:t>设施</w:t>
      </w:r>
      <w:r>
        <w:rPr>
          <w:rFonts w:hint="eastAsia" w:ascii="微软雅黑" w:hAnsi="微软雅黑" w:eastAsia="微软雅黑" w:cs="微软雅黑"/>
          <w:sz w:val="24"/>
          <w:szCs w:val="24"/>
        </w:rPr>
        <w:t>；新建1个通信接入网点、广播站，完成宽带网建设。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四十八</w:t>
      </w:r>
      <w:r>
        <w:rPr>
          <w:rFonts w:hint="eastAsia" w:ascii="微软雅黑" w:hAnsi="微软雅黑" w:eastAsia="微软雅黑" w:cs="微软雅黑"/>
          <w:b/>
          <w:sz w:val="24"/>
          <w:szCs w:val="24"/>
        </w:rPr>
        <w:t>条 远期建设</w:t>
      </w:r>
    </w:p>
    <w:p>
      <w:pPr>
        <w:spacing w:line="360" w:lineRule="auto"/>
        <w:ind w:firstLine="420"/>
        <w:rPr>
          <w:rFonts w:hint="eastAsia" w:ascii="微软雅黑" w:hAnsi="微软雅黑" w:eastAsia="微软雅黑" w:cs="微软雅黑"/>
          <w:sz w:val="24"/>
          <w:szCs w:val="24"/>
        </w:rPr>
      </w:pPr>
      <w:bookmarkStart w:id="26" w:name="_Toc488239697"/>
      <w:r>
        <w:rPr>
          <w:rFonts w:hint="eastAsia" w:ascii="微软雅黑" w:hAnsi="微软雅黑" w:eastAsia="微软雅黑" w:cs="微软雅黑"/>
          <w:sz w:val="24"/>
        </w:rPr>
        <w:t>在整村脱贫之后，在巩固成绩的基础上逐年推进，实现机械化、规模化、生态化绿色农业；农民生活宽裕，202</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年主要经济指标在现有基础上翻两番，全面实现小康；村民具有先进的思想观念、良好的道德风尚、科学健康的生活方式、文明向上的社会风貌；农村居民居住区环境进一步改善，村容整洁、设施标准、服务完善，管理有序；基层民主选举、民主决策、民主管理和民主监督机制完善，依法自治的能力不断增强。集体经济实力增强，建成</w:t>
      </w:r>
      <w:r>
        <w:rPr>
          <w:rFonts w:hint="eastAsia" w:ascii="微软雅黑" w:hAnsi="微软雅黑" w:eastAsia="微软雅黑" w:cs="微软雅黑"/>
          <w:sz w:val="24"/>
          <w:lang w:eastAsia="zh-CN"/>
        </w:rPr>
        <w:t>渝东北</w:t>
      </w:r>
      <w:r>
        <w:rPr>
          <w:rFonts w:hint="eastAsia" w:ascii="微软雅黑" w:hAnsi="微软雅黑" w:eastAsia="微软雅黑" w:cs="微软雅黑"/>
          <w:sz w:val="24"/>
        </w:rPr>
        <w:t>乃至</w:t>
      </w:r>
      <w:r>
        <w:rPr>
          <w:rFonts w:hint="eastAsia" w:ascii="微软雅黑" w:hAnsi="微软雅黑" w:eastAsia="微软雅黑" w:cs="微软雅黑"/>
          <w:sz w:val="24"/>
          <w:lang w:eastAsia="zh-CN"/>
        </w:rPr>
        <w:t>重庆</w:t>
      </w:r>
      <w:r>
        <w:rPr>
          <w:rFonts w:hint="eastAsia" w:ascii="微软雅黑" w:hAnsi="微软雅黑" w:eastAsia="微软雅黑" w:cs="微软雅黑"/>
          <w:sz w:val="24"/>
        </w:rPr>
        <w:t>地区有一定示范和样板作用的美丽乡村示范点。</w:t>
      </w:r>
    </w:p>
    <w:p>
      <w:pPr>
        <w:spacing w:line="360" w:lineRule="auto"/>
        <w:jc w:val="center"/>
        <w:outlineLvl w:val="0"/>
        <w:rPr>
          <w:rFonts w:hint="eastAsia" w:ascii="微软雅黑" w:hAnsi="微软雅黑" w:eastAsia="微软雅黑" w:cs="微软雅黑"/>
        </w:rPr>
      </w:pPr>
      <w:bookmarkStart w:id="27" w:name="_Toc2816"/>
      <w:r>
        <w:rPr>
          <w:rFonts w:hint="eastAsia" w:ascii="微软雅黑" w:hAnsi="微软雅黑" w:eastAsia="微软雅黑" w:cs="微软雅黑"/>
          <w:b/>
          <w:color w:val="000000"/>
          <w:sz w:val="28"/>
          <w:szCs w:val="24"/>
        </w:rPr>
        <w:t>第十</w:t>
      </w:r>
      <w:r>
        <w:rPr>
          <w:rFonts w:hint="eastAsia" w:ascii="微软雅黑" w:hAnsi="微软雅黑" w:eastAsia="微软雅黑" w:cs="微软雅黑"/>
          <w:b/>
          <w:color w:val="000000"/>
          <w:sz w:val="28"/>
          <w:szCs w:val="24"/>
          <w:lang w:eastAsia="zh-CN"/>
        </w:rPr>
        <w:t>三</w:t>
      </w:r>
      <w:r>
        <w:rPr>
          <w:rFonts w:hint="eastAsia" w:ascii="微软雅黑" w:hAnsi="微软雅黑" w:eastAsia="微软雅黑" w:cs="微软雅黑"/>
          <w:b/>
          <w:color w:val="000000"/>
          <w:sz w:val="28"/>
          <w:szCs w:val="24"/>
        </w:rPr>
        <w:t>章 规划实施保障</w:t>
      </w:r>
      <w:bookmarkEnd w:id="26"/>
      <w:bookmarkEnd w:id="27"/>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四十九</w:t>
      </w:r>
      <w:r>
        <w:rPr>
          <w:rFonts w:hint="eastAsia" w:ascii="微软雅黑" w:hAnsi="微软雅黑" w:eastAsia="微软雅黑" w:cs="微软雅黑"/>
          <w:b/>
          <w:sz w:val="24"/>
          <w:szCs w:val="24"/>
        </w:rPr>
        <w:t>条 规划管理</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加强管理，建立村民主动参与建设管理的制度，严格查处违法占地和违法建设行为，严格查处规划建设管理中的违法失职行为，保证本规划的有效实施。</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rPr>
        <w:t>在确保集中居民点建设用地总规模不突破的前提下，农村宅基地和村民整理节约的土地仍属农民集体所有，保证农民利益。</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五十</w:t>
      </w:r>
      <w:r>
        <w:rPr>
          <w:rFonts w:hint="eastAsia" w:ascii="微软雅黑" w:hAnsi="微软雅黑" w:eastAsia="微软雅黑" w:cs="微软雅黑"/>
          <w:b/>
          <w:sz w:val="24"/>
          <w:szCs w:val="24"/>
        </w:rPr>
        <w:t>条 规划技术</w:t>
      </w:r>
    </w:p>
    <w:p>
      <w:pPr>
        <w:spacing w:line="360" w:lineRule="auto"/>
        <w:ind w:firstLine="420"/>
        <w:rPr>
          <w:rFonts w:hint="eastAsia" w:ascii="微软雅黑" w:hAnsi="微软雅黑" w:eastAsia="微软雅黑" w:cs="微软雅黑"/>
          <w:sz w:val="24"/>
          <w:szCs w:val="24"/>
        </w:rPr>
      </w:pPr>
      <w:r>
        <w:rPr>
          <w:rFonts w:hint="eastAsia" w:ascii="微软雅黑" w:hAnsi="微软雅黑" w:eastAsia="微软雅黑" w:cs="微软雅黑"/>
          <w:sz w:val="24"/>
          <w:szCs w:val="24"/>
        </w:rPr>
        <w:t>加强农村</w:t>
      </w:r>
      <w:r>
        <w:rPr>
          <w:rFonts w:hint="eastAsia" w:ascii="微软雅黑" w:hAnsi="微软雅黑" w:eastAsia="微软雅黑" w:cs="微软雅黑"/>
          <w:sz w:val="24"/>
          <w:szCs w:val="24"/>
          <w:lang w:eastAsia="zh-CN"/>
        </w:rPr>
        <w:t>建房</w:t>
      </w:r>
      <w:r>
        <w:rPr>
          <w:rFonts w:hint="eastAsia" w:ascii="微软雅黑" w:hAnsi="微软雅黑" w:eastAsia="微软雅黑" w:cs="微软雅黑"/>
          <w:sz w:val="24"/>
          <w:szCs w:val="24"/>
        </w:rPr>
        <w:t>规划标准的研究，指导</w:t>
      </w:r>
      <w:r>
        <w:rPr>
          <w:rFonts w:hint="eastAsia" w:ascii="微软雅黑" w:hAnsi="微软雅黑" w:eastAsia="微软雅黑" w:cs="微软雅黑"/>
          <w:sz w:val="24"/>
          <w:szCs w:val="24"/>
          <w:lang w:eastAsia="zh-CN"/>
        </w:rPr>
        <w:t>居民建筑</w:t>
      </w:r>
      <w:r>
        <w:rPr>
          <w:rFonts w:hint="eastAsia" w:ascii="微软雅黑" w:hAnsi="微软雅黑" w:eastAsia="微软雅黑" w:cs="微软雅黑"/>
          <w:sz w:val="24"/>
          <w:szCs w:val="24"/>
        </w:rPr>
        <w:t>建设。加强镇域规划及相关专项规划的修编工作，以便在更大的范围内统筹兼顾，协调新农村建设。</w:t>
      </w:r>
    </w:p>
    <w:p>
      <w:pPr>
        <w:spacing w:line="360" w:lineRule="auto"/>
        <w:jc w:val="center"/>
        <w:outlineLvl w:val="0"/>
        <w:rPr>
          <w:rFonts w:hint="eastAsia" w:ascii="微软雅黑" w:hAnsi="微软雅黑" w:eastAsia="微软雅黑" w:cs="微软雅黑"/>
          <w:b/>
          <w:color w:val="000000"/>
          <w:sz w:val="28"/>
          <w:szCs w:val="24"/>
        </w:rPr>
      </w:pPr>
      <w:bookmarkStart w:id="28" w:name="_Toc488239698"/>
      <w:bookmarkStart w:id="29" w:name="_Toc13428"/>
      <w:r>
        <w:rPr>
          <w:rFonts w:hint="eastAsia" w:ascii="微软雅黑" w:hAnsi="微软雅黑" w:eastAsia="微软雅黑" w:cs="微软雅黑"/>
          <w:b/>
          <w:color w:val="000000"/>
          <w:sz w:val="28"/>
          <w:szCs w:val="24"/>
        </w:rPr>
        <w:t>第十</w:t>
      </w:r>
      <w:r>
        <w:rPr>
          <w:rFonts w:hint="eastAsia" w:ascii="微软雅黑" w:hAnsi="微软雅黑" w:eastAsia="微软雅黑" w:cs="微软雅黑"/>
          <w:b/>
          <w:color w:val="000000"/>
          <w:sz w:val="28"/>
          <w:szCs w:val="24"/>
          <w:lang w:eastAsia="zh-CN"/>
        </w:rPr>
        <w:t>四</w:t>
      </w:r>
      <w:r>
        <w:rPr>
          <w:rFonts w:hint="eastAsia" w:ascii="微软雅黑" w:hAnsi="微软雅黑" w:eastAsia="微软雅黑" w:cs="微软雅黑"/>
          <w:b/>
          <w:color w:val="000000"/>
          <w:sz w:val="28"/>
          <w:szCs w:val="24"/>
        </w:rPr>
        <w:t>章 附则</w:t>
      </w:r>
      <w:bookmarkEnd w:id="28"/>
      <w:bookmarkEnd w:id="29"/>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五十一</w:t>
      </w:r>
      <w:r>
        <w:rPr>
          <w:rFonts w:hint="eastAsia" w:ascii="微软雅黑" w:hAnsi="微软雅黑" w:eastAsia="微软雅黑" w:cs="微软雅黑"/>
          <w:b/>
          <w:sz w:val="24"/>
          <w:szCs w:val="24"/>
        </w:rPr>
        <w:t>条 本规划自</w:t>
      </w:r>
      <w:r>
        <w:rPr>
          <w:rFonts w:hint="eastAsia" w:ascii="微软雅黑" w:hAnsi="微软雅黑" w:eastAsia="微软雅黑" w:cs="微软雅黑"/>
          <w:b/>
          <w:sz w:val="24"/>
          <w:szCs w:val="24"/>
          <w:lang w:eastAsia="zh-CN"/>
        </w:rPr>
        <w:t>梁平</w:t>
      </w:r>
      <w:r>
        <w:rPr>
          <w:rFonts w:hint="eastAsia" w:ascii="微软雅黑" w:hAnsi="微软雅黑" w:eastAsia="微软雅黑" w:cs="微软雅黑"/>
          <w:b/>
          <w:sz w:val="24"/>
          <w:szCs w:val="24"/>
        </w:rPr>
        <w:t>区人民政府批准之日起生效。</w:t>
      </w:r>
    </w:p>
    <w:p>
      <w:pPr>
        <w:spacing w:line="360" w:lineRule="auto"/>
        <w:rPr>
          <w:rFonts w:hint="eastAsia" w:ascii="黑体" w:hAnsi="黑体" w:eastAsia="黑体" w:cs="黑体"/>
          <w:b/>
          <w:sz w:val="52"/>
          <w:szCs w:val="52"/>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五十二</w:t>
      </w:r>
      <w:r>
        <w:rPr>
          <w:rFonts w:hint="eastAsia" w:ascii="微软雅黑" w:hAnsi="微软雅黑" w:eastAsia="微软雅黑" w:cs="微软雅黑"/>
          <w:b/>
          <w:sz w:val="24"/>
          <w:szCs w:val="24"/>
        </w:rPr>
        <w:t>条 本规划一经批准，任何单位和个人不得擅自更改。确需对本规划进行更改时，必须按规定程序进行。</w:t>
      </w:r>
    </w:p>
    <w:p>
      <w:pPr>
        <w:pStyle w:val="44"/>
        <w:jc w:val="left"/>
        <w:rPr>
          <w:rFonts w:hint="eastAsia" w:ascii="微软雅黑" w:hAnsi="微软雅黑" w:eastAsia="微软雅黑" w:cs="微软雅黑"/>
          <w:lang w:val="en-US" w:eastAsia="zh-CN"/>
        </w:rPr>
      </w:pPr>
      <w:bookmarkStart w:id="30" w:name="_Toc1990"/>
      <w:bookmarkStart w:id="31" w:name="_Toc10758"/>
      <w:bookmarkStart w:id="32" w:name="_Toc293"/>
      <w:r>
        <w:rPr>
          <w:rFonts w:hint="eastAsia" w:ascii="微软雅黑" w:hAnsi="微软雅黑" w:eastAsia="微软雅黑" w:cs="微软雅黑"/>
          <w:lang w:val="en-US" w:eastAsia="zh-CN"/>
        </w:rPr>
        <w:t>附 表</w:t>
      </w:r>
      <w:bookmarkEnd w:id="30"/>
      <w:bookmarkEnd w:id="31"/>
      <w:bookmarkEnd w:id="32"/>
    </w:p>
    <w:p>
      <w:pPr>
        <w:widowControl/>
        <w:jc w:val="center"/>
        <w:rPr>
          <w:rFonts w:hint="eastAsia" w:ascii="Calibri Light" w:hAnsi="Calibri Light" w:eastAsia="宋体" w:cs="Times New Roman"/>
          <w:kern w:val="2"/>
          <w:sz w:val="24"/>
          <w:szCs w:val="20"/>
          <w:lang w:val="en-US" w:eastAsia="zh-CN" w:bidi="ar-SA"/>
        </w:rPr>
      </w:pPr>
      <w:bookmarkStart w:id="33" w:name="_Toc2946_WPSOffice_Level1"/>
      <w:bookmarkStart w:id="34" w:name="_Toc22190_WPSOffice_Level1"/>
      <w:bookmarkStart w:id="35" w:name="_Toc28586_WPSOffice_Level1"/>
      <w:bookmarkStart w:id="36" w:name="_Toc4330_WPSOffice_Level1"/>
      <w:r>
        <w:rPr>
          <w:rFonts w:hint="eastAsia" w:ascii="Calibri Light" w:hAnsi="Calibri Light" w:eastAsia="宋体" w:cs="Times New Roman"/>
          <w:kern w:val="2"/>
          <w:sz w:val="24"/>
          <w:szCs w:val="20"/>
          <w:lang w:val="en-US" w:eastAsia="zh-CN" w:bidi="ar-SA"/>
        </w:rPr>
        <w:t>附表</w:t>
      </w:r>
      <w:r>
        <w:rPr>
          <w:rFonts w:hint="eastAsia" w:ascii="Calibri Light" w:hAnsi="Calibri Light" w:cs="Times New Roman"/>
          <w:kern w:val="2"/>
          <w:sz w:val="24"/>
          <w:szCs w:val="20"/>
          <w:lang w:val="en-US" w:eastAsia="zh-CN" w:bidi="ar-SA"/>
        </w:rPr>
        <w:t>一</w:t>
      </w:r>
      <w:r>
        <w:rPr>
          <w:rFonts w:hint="eastAsia" w:ascii="Calibri Light" w:hAnsi="Calibri Light" w:eastAsia="宋体" w:cs="Times New Roman"/>
          <w:kern w:val="2"/>
          <w:sz w:val="24"/>
          <w:szCs w:val="20"/>
          <w:lang w:val="en-US" w:eastAsia="zh-CN" w:bidi="ar-SA"/>
        </w:rPr>
        <w:t xml:space="preserve">  </w:t>
      </w:r>
      <w:r>
        <w:rPr>
          <w:rFonts w:hint="eastAsia" w:ascii="Calibri Light" w:hAnsi="Calibri Light" w:cs="Times New Roman"/>
          <w:kern w:val="2"/>
          <w:sz w:val="24"/>
          <w:szCs w:val="20"/>
          <w:lang w:val="en-US" w:eastAsia="zh-CN" w:bidi="ar-SA"/>
        </w:rPr>
        <w:t>骆马村</w:t>
      </w:r>
      <w:r>
        <w:rPr>
          <w:rFonts w:hint="eastAsia" w:ascii="Calibri Light" w:hAnsi="Calibri Light" w:eastAsia="宋体" w:cs="Times New Roman"/>
          <w:kern w:val="2"/>
          <w:sz w:val="24"/>
          <w:szCs w:val="20"/>
          <w:lang w:val="en-US" w:eastAsia="zh-CN" w:bidi="ar-SA"/>
        </w:rPr>
        <w:t>“三生</w:t>
      </w:r>
      <w:r>
        <w:rPr>
          <w:rFonts w:hint="eastAsia" w:ascii="Calibri Light" w:hAnsi="Calibri Light" w:cs="Times New Roman"/>
          <w:kern w:val="2"/>
          <w:sz w:val="24"/>
          <w:szCs w:val="20"/>
          <w:lang w:val="en-US" w:eastAsia="zh-CN" w:bidi="ar-SA"/>
        </w:rPr>
        <w:t>空间</w:t>
      </w:r>
      <w:r>
        <w:rPr>
          <w:rFonts w:hint="eastAsia" w:ascii="Calibri Light" w:hAnsi="Calibri Light" w:eastAsia="宋体" w:cs="Times New Roman"/>
          <w:kern w:val="2"/>
          <w:sz w:val="24"/>
          <w:szCs w:val="20"/>
          <w:lang w:val="en-US" w:eastAsia="zh-CN" w:bidi="ar-SA"/>
        </w:rPr>
        <w:t>”</w:t>
      </w:r>
      <w:r>
        <w:rPr>
          <w:rFonts w:hint="eastAsia" w:ascii="Calibri Light" w:hAnsi="Calibri Light" w:cs="Times New Roman"/>
          <w:kern w:val="2"/>
          <w:sz w:val="24"/>
          <w:szCs w:val="20"/>
          <w:lang w:val="en-US" w:eastAsia="zh-CN" w:bidi="ar-SA"/>
        </w:rPr>
        <w:t>统计</w:t>
      </w:r>
      <w:r>
        <w:rPr>
          <w:rFonts w:hint="eastAsia" w:ascii="Calibri Light" w:hAnsi="Calibri Light" w:eastAsia="宋体" w:cs="Times New Roman"/>
          <w:kern w:val="2"/>
          <w:sz w:val="24"/>
          <w:szCs w:val="20"/>
          <w:lang w:val="en-US" w:eastAsia="zh-CN" w:bidi="ar-SA"/>
        </w:rPr>
        <w:t>表</w:t>
      </w:r>
      <w:bookmarkEnd w:id="33"/>
      <w:bookmarkEnd w:id="34"/>
      <w:bookmarkEnd w:id="35"/>
      <w:bookmarkEnd w:id="36"/>
    </w:p>
    <w:tbl>
      <w:tblPr>
        <w:tblStyle w:val="1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2885"/>
        <w:gridCol w:w="2022"/>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空间类型</w:t>
            </w: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用地类型</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面积（公顷）</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restart"/>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生产空间</w:t>
            </w: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耕地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117.84</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园地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61.14</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牧草地</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设施农用地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田坎</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24.12</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农村道路</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2.86</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坑塘水面</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1.99</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农田水利用地</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采矿用地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村产业用地</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风景名胜设施用地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小计</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207.95</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restart"/>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生活空间</w:t>
            </w: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农村居民点用地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20.05</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交通水利用地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其他独立建设用地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小计</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20.05</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restart"/>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生态空间</w:t>
            </w: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林地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138.11</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center"/>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自然保护区</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风景名胜区</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森林公园</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湿地公园</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“四山”地区</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饮用水源及其保护区</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II级以上林地</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郁闭度大于0.7的林地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地质灾害高易发区</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美丽山水需要保护的范围</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自然保留地</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生态恢复区</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滩涂</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0.15</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其他生态空间</w:t>
            </w:r>
          </w:p>
        </w:tc>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Merge w:val="continue"/>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小计</w:t>
            </w: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1"/>
                <w:szCs w:val="21"/>
                <w:lang w:val="en-US" w:eastAsia="zh-CN" w:bidi="ar-SA"/>
              </w:rPr>
              <w:t>138.26</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2"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合计</w:t>
            </w:r>
          </w:p>
        </w:tc>
        <w:tc>
          <w:tcPr>
            <w:tcW w:w="2885"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c>
          <w:tcPr>
            <w:tcW w:w="2022" w:type="dxa"/>
            <w:vAlign w:val="top"/>
          </w:tcPr>
          <w:p>
            <w:pPr>
              <w:pStyle w:val="3"/>
              <w:jc w:val="center"/>
              <w:rPr>
                <w:rFonts w:hint="default" w:ascii="Times New Roman" w:hAnsi="Times New Roman" w:eastAsia="宋体" w:cs="Times New Roman"/>
                <w:b w:val="0"/>
                <w:bCs w:val="0"/>
                <w:color w:val="000000"/>
                <w:kern w:val="0"/>
                <w:sz w:val="22"/>
                <w:szCs w:val="22"/>
                <w:lang w:val="en-US" w:eastAsia="zh-CN" w:bidi="ar-SA"/>
              </w:rPr>
            </w:pPr>
            <w:r>
              <w:rPr>
                <w:rFonts w:hint="eastAsia" w:ascii="Times New Roman" w:hAnsi="Times New Roman" w:eastAsia="宋体" w:cs="Times New Roman"/>
                <w:b w:val="0"/>
                <w:bCs w:val="0"/>
                <w:color w:val="000000"/>
                <w:kern w:val="0"/>
                <w:sz w:val="22"/>
                <w:szCs w:val="22"/>
                <w:lang w:val="en-US" w:eastAsia="zh-CN" w:bidi="ar-SA"/>
              </w:rPr>
              <w:t>366.26</w:t>
            </w:r>
          </w:p>
        </w:tc>
        <w:tc>
          <w:tcPr>
            <w:tcW w:w="1448" w:type="dxa"/>
            <w:vAlign w:val="top"/>
          </w:tcPr>
          <w:p>
            <w:pPr>
              <w:pStyle w:val="3"/>
              <w:jc w:val="center"/>
              <w:rPr>
                <w:rFonts w:hint="eastAsia" w:ascii="Times New Roman" w:hAnsi="Times New Roman" w:eastAsia="宋体" w:cs="Times New Roman"/>
                <w:b w:val="0"/>
                <w:bCs w:val="0"/>
                <w:color w:val="000000"/>
                <w:kern w:val="0"/>
                <w:sz w:val="22"/>
                <w:szCs w:val="22"/>
                <w:lang w:val="en-US" w:eastAsia="zh-CN" w:bidi="ar-SA"/>
              </w:rPr>
            </w:pPr>
          </w:p>
        </w:tc>
      </w:tr>
    </w:tbl>
    <w:p>
      <w:pPr>
        <w:widowControl/>
        <w:jc w:val="center"/>
        <w:rPr>
          <w:rFonts w:hint="eastAsia" w:ascii="Calibri Light" w:hAnsi="Calibri Light" w:eastAsia="宋体" w:cs="Times New Roman"/>
          <w:kern w:val="2"/>
          <w:sz w:val="24"/>
          <w:szCs w:val="20"/>
          <w:lang w:val="en-US" w:eastAsia="zh-CN" w:bidi="ar-SA"/>
        </w:rPr>
      </w:pPr>
      <w:bookmarkStart w:id="37" w:name="_Toc28988_WPSOffice_Level1"/>
      <w:bookmarkStart w:id="38" w:name="_Toc2875_WPSOffice_Level1"/>
    </w:p>
    <w:p>
      <w:pPr>
        <w:widowControl/>
        <w:jc w:val="center"/>
        <w:rPr>
          <w:rFonts w:hint="eastAsia" w:ascii="Calibri Light" w:hAnsi="Calibri Light" w:eastAsia="宋体" w:cs="Times New Roman"/>
          <w:kern w:val="2"/>
          <w:sz w:val="24"/>
          <w:szCs w:val="20"/>
          <w:lang w:val="en-US" w:eastAsia="zh-CN" w:bidi="ar-SA"/>
        </w:rPr>
      </w:pPr>
    </w:p>
    <w:p>
      <w:pPr>
        <w:widowControl/>
        <w:jc w:val="center"/>
        <w:rPr>
          <w:rFonts w:hint="eastAsia" w:ascii="Calibri Light" w:hAnsi="Calibri Light" w:eastAsia="宋体" w:cs="Times New Roman"/>
          <w:kern w:val="2"/>
          <w:sz w:val="24"/>
          <w:szCs w:val="20"/>
          <w:lang w:val="en-US" w:eastAsia="zh-CN" w:bidi="ar-SA"/>
        </w:rPr>
      </w:pPr>
      <w:r>
        <w:rPr>
          <w:rFonts w:hint="eastAsia" w:ascii="Calibri Light" w:hAnsi="Calibri Light" w:eastAsia="宋体" w:cs="Times New Roman"/>
          <w:kern w:val="2"/>
          <w:sz w:val="24"/>
          <w:szCs w:val="20"/>
          <w:lang w:val="en-US" w:eastAsia="zh-CN" w:bidi="ar-SA"/>
        </w:rPr>
        <w:t>附表</w:t>
      </w:r>
      <w:r>
        <w:rPr>
          <w:rFonts w:hint="eastAsia" w:ascii="Calibri Light" w:hAnsi="Calibri Light" w:cs="Times New Roman"/>
          <w:kern w:val="2"/>
          <w:sz w:val="24"/>
          <w:szCs w:val="20"/>
          <w:lang w:val="en-US" w:eastAsia="zh-CN" w:bidi="ar-SA"/>
        </w:rPr>
        <w:t>二</w:t>
      </w:r>
      <w:r>
        <w:rPr>
          <w:rFonts w:hint="eastAsia" w:ascii="Calibri Light" w:hAnsi="Calibri Light" w:eastAsia="宋体" w:cs="Times New Roman"/>
          <w:kern w:val="2"/>
          <w:sz w:val="24"/>
          <w:szCs w:val="20"/>
          <w:lang w:val="en-US" w:eastAsia="zh-CN" w:bidi="ar-SA"/>
        </w:rPr>
        <w:t xml:space="preserve">  </w:t>
      </w:r>
      <w:r>
        <w:rPr>
          <w:rFonts w:hint="eastAsia" w:ascii="Calibri Light" w:hAnsi="Calibri Light" w:cs="Times New Roman"/>
          <w:kern w:val="2"/>
          <w:sz w:val="24"/>
          <w:szCs w:val="20"/>
          <w:lang w:val="en-US" w:eastAsia="zh-CN" w:bidi="ar-SA"/>
        </w:rPr>
        <w:t>骆马</w:t>
      </w:r>
      <w:r>
        <w:rPr>
          <w:rFonts w:hint="eastAsia" w:ascii="Calibri Light" w:hAnsi="Calibri Light" w:eastAsia="宋体" w:cs="Times New Roman"/>
          <w:kern w:val="2"/>
          <w:sz w:val="24"/>
          <w:szCs w:val="20"/>
          <w:lang w:val="en-US" w:eastAsia="zh-CN" w:bidi="ar-SA"/>
        </w:rPr>
        <w:t>村现状土地利用汇总表</w:t>
      </w:r>
      <w:bookmarkEnd w:id="37"/>
      <w:bookmarkEnd w:id="38"/>
    </w:p>
    <w:tbl>
      <w:tblPr>
        <w:tblStyle w:val="15"/>
        <w:tblW w:w="497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2110"/>
        <w:gridCol w:w="2152"/>
        <w:gridCol w:w="1745"/>
        <w:gridCol w:w="1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32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一级类</w:t>
            </w:r>
          </w:p>
        </w:tc>
        <w:tc>
          <w:tcPr>
            <w:tcW w:w="124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二级类</w:t>
            </w:r>
          </w:p>
        </w:tc>
        <w:tc>
          <w:tcPr>
            <w:tcW w:w="126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三级类</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面积</w:t>
            </w:r>
            <w:r>
              <w:rPr>
                <w:rFonts w:hint="eastAsia" w:ascii="宋体" w:hAnsi="宋体" w:cs="宋体"/>
                <w:i w:val="0"/>
                <w:color w:val="000000"/>
                <w:kern w:val="0"/>
                <w:sz w:val="21"/>
                <w:szCs w:val="21"/>
                <w:u w:val="none"/>
                <w:lang w:val="en-US" w:eastAsia="zh-CN" w:bidi="ar"/>
              </w:rPr>
              <w:t>（公顷）</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比例</w:t>
            </w:r>
            <w:r>
              <w:rPr>
                <w:rFonts w:hint="eastAsia" w:ascii="宋体" w:hAnsi="宋体" w:cs="宋体"/>
                <w:i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农用地</w:t>
            </w:r>
          </w:p>
        </w:tc>
        <w:tc>
          <w:tcPr>
            <w:tcW w:w="12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耕地</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水田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76.04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20.76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水浇地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旱地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90.74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24.77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园地</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029" w:type="pct"/>
            <w:tcBorders>
              <w:top w:val="nil"/>
              <w:left w:val="nil"/>
              <w:bottom w:val="nil"/>
              <w:right w:val="nil"/>
            </w:tcBorders>
            <w:shd w:val="clear" w:color="auto" w:fill="auto"/>
            <w:noWrap/>
            <w:vAlign w:val="center"/>
          </w:tcPr>
          <w:p>
            <w:pPr>
              <w:rPr>
                <w:rFonts w:hint="eastAsia"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林地</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138.17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37.72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牧草地</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其他农用地</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设施农用地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农村道路</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2.87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0.78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坑塘水面</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1.99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0.54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农田水利用地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田坎</w:t>
            </w:r>
          </w:p>
        </w:tc>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35.55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9.71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28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农用地合计</w:t>
            </w:r>
          </w:p>
        </w:tc>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345.36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94.29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建设用地</w:t>
            </w:r>
          </w:p>
        </w:tc>
        <w:tc>
          <w:tcPr>
            <w:tcW w:w="124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城乡建设用地</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城镇用地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农村居民点用地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20.75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5.67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采矿用地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其他独立建设用地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交通水利用地</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铁路用地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公路用地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水库水面</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水工建筑用地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其他建设用地</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风景名胜设施用地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特殊用地</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28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建设用地合计</w:t>
            </w:r>
          </w:p>
        </w:tc>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20.75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5.67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其他土地</w:t>
            </w:r>
          </w:p>
        </w:tc>
        <w:tc>
          <w:tcPr>
            <w:tcW w:w="124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水域</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河流水面</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湖泊水面</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滩涂</w:t>
            </w: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0.15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0.04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自然保留地</w:t>
            </w:r>
          </w:p>
        </w:tc>
        <w:tc>
          <w:tcPr>
            <w:tcW w:w="12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color w:val="000000"/>
                <w:kern w:val="0"/>
                <w:sz w:val="21"/>
                <w:szCs w:val="21"/>
                <w:u w:val="none"/>
                <w:lang w:val="en-US" w:eastAsia="zh-CN" w:bidi="ar"/>
              </w:rPr>
            </w:pP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28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其他土地合计</w:t>
            </w:r>
          </w:p>
        </w:tc>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0.15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0.04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 w:hRule="atLeast"/>
        </w:trPr>
        <w:tc>
          <w:tcPr>
            <w:tcW w:w="28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合计</w:t>
            </w:r>
          </w:p>
        </w:tc>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366.26 </w:t>
            </w:r>
          </w:p>
        </w:tc>
        <w:tc>
          <w:tcPr>
            <w:tcW w:w="11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default" w:ascii="宋体" w:hAnsi="宋体" w:eastAsia="宋体" w:cs="宋体"/>
                <w:i w:val="0"/>
                <w:color w:val="000000"/>
                <w:kern w:val="0"/>
                <w:sz w:val="21"/>
                <w:szCs w:val="21"/>
                <w:u w:val="none"/>
                <w:lang w:val="en-US" w:eastAsia="zh-CN" w:bidi="ar"/>
              </w:rPr>
              <w:t xml:space="preserve">100.00 </w:t>
            </w:r>
          </w:p>
        </w:tc>
      </w:tr>
    </w:tbl>
    <w:p>
      <w:pPr>
        <w:widowControl/>
        <w:jc w:val="center"/>
        <w:rPr>
          <w:rFonts w:hint="eastAsia" w:ascii="Calibri Light" w:hAnsi="Calibri Light" w:eastAsia="宋体" w:cs="Times New Roman"/>
          <w:kern w:val="2"/>
          <w:sz w:val="24"/>
          <w:szCs w:val="20"/>
          <w:lang w:val="en-US" w:eastAsia="zh-CN" w:bidi="ar-SA"/>
        </w:rPr>
      </w:pPr>
    </w:p>
    <w:p>
      <w:pPr>
        <w:widowControl/>
        <w:jc w:val="center"/>
        <w:rPr>
          <w:rFonts w:hint="eastAsia" w:ascii="Calibri Light" w:hAnsi="Calibri Light" w:eastAsia="宋体" w:cs="Times New Roman"/>
          <w:kern w:val="2"/>
          <w:sz w:val="24"/>
          <w:szCs w:val="20"/>
          <w:lang w:val="en-US" w:eastAsia="zh-CN" w:bidi="ar-SA"/>
        </w:rPr>
      </w:pPr>
    </w:p>
    <w:p>
      <w:pPr>
        <w:widowControl/>
        <w:jc w:val="center"/>
        <w:rPr>
          <w:rFonts w:hint="eastAsia" w:ascii="Calibri Light" w:hAnsi="Calibri Light" w:eastAsia="宋体" w:cs="Times New Roman"/>
          <w:kern w:val="2"/>
          <w:sz w:val="24"/>
          <w:szCs w:val="20"/>
          <w:lang w:val="en-US" w:eastAsia="zh-CN" w:bidi="ar-SA"/>
        </w:rPr>
      </w:pPr>
    </w:p>
    <w:p>
      <w:pPr>
        <w:widowControl/>
        <w:jc w:val="center"/>
        <w:rPr>
          <w:rFonts w:hint="eastAsia" w:ascii="Calibri Light" w:hAnsi="Calibri Light" w:eastAsia="宋体" w:cs="Times New Roman"/>
          <w:kern w:val="2"/>
          <w:sz w:val="24"/>
          <w:szCs w:val="20"/>
          <w:lang w:val="en-US" w:eastAsia="zh-CN" w:bidi="ar-SA"/>
        </w:rPr>
      </w:pPr>
    </w:p>
    <w:p>
      <w:pPr>
        <w:widowControl/>
        <w:jc w:val="center"/>
        <w:rPr>
          <w:rFonts w:hint="eastAsia" w:ascii="Calibri Light" w:hAnsi="Calibri Light" w:eastAsia="宋体" w:cs="Times New Roman"/>
          <w:kern w:val="2"/>
          <w:sz w:val="24"/>
          <w:szCs w:val="20"/>
          <w:lang w:val="en-US" w:eastAsia="zh-CN" w:bidi="ar-SA"/>
        </w:rPr>
      </w:pPr>
    </w:p>
    <w:p>
      <w:pPr>
        <w:widowControl/>
        <w:jc w:val="center"/>
        <w:rPr>
          <w:rFonts w:hint="eastAsia" w:ascii="Calibri Light" w:hAnsi="Calibri Light" w:eastAsia="宋体" w:cs="Times New Roman"/>
          <w:kern w:val="2"/>
          <w:sz w:val="24"/>
          <w:szCs w:val="20"/>
          <w:lang w:val="en-US" w:eastAsia="zh-CN" w:bidi="ar-SA"/>
        </w:rPr>
      </w:pPr>
      <w:bookmarkStart w:id="39" w:name="_Toc4914_WPSOffice_Level1"/>
      <w:bookmarkStart w:id="40" w:name="_Toc17510_WPSOffice_Level1"/>
      <w:bookmarkStart w:id="41" w:name="_Toc5321_WPSOffice_Level1"/>
      <w:bookmarkStart w:id="42" w:name="_Toc1282_WPSOffice_Level1"/>
    </w:p>
    <w:p>
      <w:pPr>
        <w:widowControl/>
        <w:jc w:val="center"/>
        <w:rPr>
          <w:rFonts w:hint="eastAsia" w:ascii="Calibri Light" w:hAnsi="Calibri Light" w:eastAsia="宋体" w:cs="Times New Roman"/>
          <w:kern w:val="2"/>
          <w:sz w:val="24"/>
          <w:szCs w:val="20"/>
          <w:lang w:val="en-US" w:eastAsia="zh-CN" w:bidi="ar-SA"/>
        </w:rPr>
      </w:pPr>
      <w:r>
        <w:rPr>
          <w:rFonts w:hint="eastAsia" w:ascii="Calibri Light" w:hAnsi="Calibri Light" w:eastAsia="宋体" w:cs="Times New Roman"/>
          <w:kern w:val="2"/>
          <w:sz w:val="24"/>
          <w:szCs w:val="20"/>
          <w:lang w:val="en-US" w:eastAsia="zh-CN" w:bidi="ar-SA"/>
        </w:rPr>
        <w:t xml:space="preserve">附表三 </w:t>
      </w:r>
      <w:r>
        <w:rPr>
          <w:rFonts w:hint="eastAsia" w:ascii="Calibri Light" w:hAnsi="Calibri Light" w:cs="Times New Roman"/>
          <w:kern w:val="2"/>
          <w:sz w:val="24"/>
          <w:szCs w:val="20"/>
          <w:lang w:val="en-US" w:eastAsia="zh-CN" w:bidi="ar-SA"/>
        </w:rPr>
        <w:t>骆马</w:t>
      </w:r>
      <w:r>
        <w:rPr>
          <w:rFonts w:hint="eastAsia" w:ascii="Calibri Light" w:hAnsi="Calibri Light" w:eastAsia="宋体" w:cs="Times New Roman"/>
          <w:kern w:val="2"/>
          <w:sz w:val="24"/>
          <w:szCs w:val="20"/>
          <w:lang w:val="en-US" w:eastAsia="zh-CN" w:bidi="ar-SA"/>
        </w:rPr>
        <w:t>村土地利用规划地类统计表</w:t>
      </w:r>
      <w:bookmarkEnd w:id="39"/>
      <w:bookmarkEnd w:id="40"/>
      <w:bookmarkEnd w:id="41"/>
      <w:bookmarkEnd w:id="42"/>
    </w:p>
    <w:tbl>
      <w:tblPr>
        <w:tblStyle w:val="15"/>
        <w:tblW w:w="498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35"/>
        <w:gridCol w:w="1689"/>
        <w:gridCol w:w="2667"/>
        <w:gridCol w:w="1479"/>
        <w:gridCol w:w="14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72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一级类</w:t>
            </w:r>
          </w:p>
        </w:tc>
        <w:tc>
          <w:tcPr>
            <w:tcW w:w="99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二级类</w:t>
            </w:r>
          </w:p>
        </w:tc>
        <w:tc>
          <w:tcPr>
            <w:tcW w:w="156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三级类</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面积</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农用地</w:t>
            </w:r>
          </w:p>
        </w:tc>
        <w:tc>
          <w:tcPr>
            <w:tcW w:w="9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耕地</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水田</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72.93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19.91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水浇地</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旱地</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44.91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12.26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园地</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61.14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16.69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林地</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138.11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37.71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牧草地</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其他农用地</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设施农用地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农村道路</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2.86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0.78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坑塘水面</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1.99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0.54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农田水利用地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田坎</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24.12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6.59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3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农用地合计</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346.06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94.48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建设用地</w:t>
            </w:r>
          </w:p>
        </w:tc>
        <w:tc>
          <w:tcPr>
            <w:tcW w:w="99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城乡建设用地</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城镇用地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农村居民点用地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20.05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5.47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采矿用地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其他独立建设用地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交通水利用地</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铁路用地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公路用地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水库水面</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水工建筑用地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其他建设用地</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风景名胜设施用地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特殊用地</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3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建设用地合计</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20.05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5.47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其他土地</w:t>
            </w:r>
          </w:p>
        </w:tc>
        <w:tc>
          <w:tcPr>
            <w:tcW w:w="99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水域</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河流水面</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湖泊水面</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滩涂</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0.15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0.04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自然保留地</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val="0"/>
                <w:bCs w:val="0"/>
                <w:color w:val="000000"/>
                <w:kern w:val="0"/>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3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其他土地合计</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0.15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0.04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3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合计</w:t>
            </w:r>
          </w:p>
        </w:tc>
        <w:tc>
          <w:tcPr>
            <w:tcW w:w="8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366.26 </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2"/>
                <w:szCs w:val="22"/>
                <w:lang w:val="en-US" w:eastAsia="zh-CN" w:bidi="ar-SA"/>
              </w:rPr>
            </w:pPr>
            <w:r>
              <w:rPr>
                <w:rFonts w:hint="default" w:ascii="Times New Roman" w:hAnsi="Times New Roman" w:eastAsia="宋体" w:cs="Times New Roman"/>
                <w:b w:val="0"/>
                <w:bCs w:val="0"/>
                <w:color w:val="000000"/>
                <w:kern w:val="0"/>
                <w:sz w:val="22"/>
                <w:szCs w:val="22"/>
                <w:lang w:val="en-US" w:eastAsia="zh-CN" w:bidi="ar-SA"/>
              </w:rPr>
              <w:t xml:space="preserve">100.00 </w:t>
            </w:r>
          </w:p>
        </w:tc>
      </w:tr>
    </w:tbl>
    <w:p>
      <w:pPr>
        <w:spacing w:line="360" w:lineRule="auto"/>
        <w:rPr>
          <w:rFonts w:hint="eastAsia" w:ascii="宋体" w:hAnsi="宋体" w:cs="宋体"/>
          <w:color w:val="auto"/>
          <w:sz w:val="24"/>
          <w:szCs w:val="24"/>
          <w:lang w:val="en-US" w:eastAsia="zh-CN"/>
        </w:rPr>
      </w:pPr>
      <w:r>
        <w:rPr>
          <w:rFonts w:hint="eastAsia" w:ascii="微软雅黑" w:hAnsi="微软雅黑" w:eastAsia="微软雅黑" w:cs="微软雅黑"/>
          <w:sz w:val="24"/>
          <w:lang w:eastAsia="zh-CN"/>
        </w:rPr>
        <w:t>附图：</w:t>
      </w:r>
      <w:r>
        <w:rPr>
          <w:rFonts w:hint="eastAsia" w:ascii="宋体" w:hAnsi="宋体" w:cs="宋体"/>
          <w:color w:val="auto"/>
          <w:sz w:val="24"/>
          <w:szCs w:val="24"/>
          <w:lang w:val="en-US" w:eastAsia="zh-CN"/>
        </w:rPr>
        <w:t>1、土地利用现状图</w:t>
      </w:r>
    </w:p>
    <w:p>
      <w:pPr>
        <w:numPr>
          <w:ilvl w:val="0"/>
          <w:numId w:val="2"/>
        </w:numPr>
        <w:spacing w:line="360" w:lineRule="auto"/>
        <w:ind w:left="720" w:leftChars="0" w:firstLine="0" w:firstLineChars="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土地利用规划图</w:t>
      </w:r>
    </w:p>
    <w:p>
      <w:pPr>
        <w:numPr>
          <w:ilvl w:val="0"/>
          <w:numId w:val="2"/>
        </w:numPr>
        <w:spacing w:line="360" w:lineRule="auto"/>
        <w:ind w:left="720" w:leftChars="0" w:firstLine="0" w:firstLineChars="0"/>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现状空间管制要求分布图</w:t>
      </w:r>
    </w:p>
    <w:p>
      <w:pPr>
        <w:numPr>
          <w:ilvl w:val="0"/>
          <w:numId w:val="2"/>
        </w:numPr>
        <w:spacing w:line="360" w:lineRule="auto"/>
        <w:ind w:left="720" w:leftChars="0" w:firstLine="0" w:firstLineChars="0"/>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三区三线规划图</w:t>
      </w:r>
    </w:p>
    <w:p>
      <w:pPr>
        <w:spacing w:line="360" w:lineRule="auto"/>
        <w:rPr>
          <w:rFonts w:hint="eastAsia" w:ascii="微软雅黑" w:hAnsi="微软雅黑" w:eastAsia="微软雅黑" w:cs="微软雅黑"/>
          <w:sz w:val="24"/>
          <w:lang w:eastAsia="zh-CN"/>
        </w:rPr>
      </w:pPr>
      <w:bookmarkStart w:id="43" w:name="_GoBack"/>
      <w:bookmarkEnd w:id="43"/>
      <w:r>
        <w:rPr>
          <w:rFonts w:hint="eastAsia" w:ascii="微软雅黑" w:hAnsi="微软雅黑" w:eastAsia="微软雅黑" w:cs="微软雅黑"/>
          <w:sz w:val="24"/>
          <w:lang w:eastAsia="zh-CN"/>
        </w:rPr>
        <w:drawing>
          <wp:inline distT="0" distB="0" distL="114300" distR="114300">
            <wp:extent cx="5273040" cy="7451725"/>
            <wp:effectExtent l="0" t="0" r="3810" b="15875"/>
            <wp:docPr id="3" name="图片 3" descr="410土地利用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10土地利用现状图"/>
                    <pic:cNvPicPr>
                      <a:picLocks noChangeAspect="1"/>
                    </pic:cNvPicPr>
                  </pic:nvPicPr>
                  <pic:blipFill>
                    <a:blip r:embed="rId9"/>
                    <a:stretch>
                      <a:fillRect/>
                    </a:stretch>
                  </pic:blipFill>
                  <pic:spPr>
                    <a:xfrm>
                      <a:off x="0" y="0"/>
                      <a:ext cx="5273040" cy="7451725"/>
                    </a:xfrm>
                    <a:prstGeom prst="rect">
                      <a:avLst/>
                    </a:prstGeom>
                  </pic:spPr>
                </pic:pic>
              </a:graphicData>
            </a:graphic>
          </wp:inline>
        </w:drawing>
      </w:r>
      <w:r>
        <w:rPr>
          <w:rFonts w:hint="eastAsia" w:ascii="微软雅黑" w:hAnsi="微软雅黑" w:eastAsia="微软雅黑" w:cs="微软雅黑"/>
          <w:sz w:val="24"/>
          <w:lang w:eastAsia="zh-CN"/>
        </w:rPr>
        <w:drawing>
          <wp:inline distT="0" distB="0" distL="114300" distR="114300">
            <wp:extent cx="5273040" cy="7451725"/>
            <wp:effectExtent l="0" t="0" r="3810" b="15875"/>
            <wp:docPr id="2" name="图片 2" descr="420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0土地利用规划图"/>
                    <pic:cNvPicPr>
                      <a:picLocks noChangeAspect="1"/>
                    </pic:cNvPicPr>
                  </pic:nvPicPr>
                  <pic:blipFill>
                    <a:blip r:embed="rId10"/>
                    <a:stretch>
                      <a:fillRect/>
                    </a:stretch>
                  </pic:blipFill>
                  <pic:spPr>
                    <a:xfrm>
                      <a:off x="0" y="0"/>
                      <a:ext cx="5273040" cy="7451725"/>
                    </a:xfrm>
                    <a:prstGeom prst="rect">
                      <a:avLst/>
                    </a:prstGeom>
                  </pic:spPr>
                </pic:pic>
              </a:graphicData>
            </a:graphic>
          </wp:inline>
        </w:drawing>
      </w: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drawing>
          <wp:inline distT="0" distB="0" distL="114300" distR="114300">
            <wp:extent cx="5271770" cy="7456805"/>
            <wp:effectExtent l="0" t="0" r="5080" b="10795"/>
            <wp:docPr id="4" name="图片 4" descr="05现状空间管制要求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现状空间管制要求分布图"/>
                    <pic:cNvPicPr>
                      <a:picLocks noChangeAspect="1"/>
                    </pic:cNvPicPr>
                  </pic:nvPicPr>
                  <pic:blipFill>
                    <a:blip r:embed="rId11"/>
                    <a:stretch>
                      <a:fillRect/>
                    </a:stretch>
                  </pic:blipFill>
                  <pic:spPr>
                    <a:xfrm>
                      <a:off x="0" y="0"/>
                      <a:ext cx="5271770" cy="7456805"/>
                    </a:xfrm>
                    <a:prstGeom prst="rect">
                      <a:avLst/>
                    </a:prstGeom>
                  </pic:spPr>
                </pic:pic>
              </a:graphicData>
            </a:graphic>
          </wp:inline>
        </w:drawing>
      </w: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drawing>
          <wp:inline distT="0" distB="0" distL="114300" distR="114300">
            <wp:extent cx="5273040" cy="7451725"/>
            <wp:effectExtent l="0" t="0" r="3810" b="15875"/>
            <wp:docPr id="5" name="图片 5" descr="06村三生三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村三生三线规划图"/>
                    <pic:cNvPicPr>
                      <a:picLocks noChangeAspect="1"/>
                    </pic:cNvPicPr>
                  </pic:nvPicPr>
                  <pic:blipFill>
                    <a:blip r:embed="rId12"/>
                    <a:stretch>
                      <a:fillRect/>
                    </a:stretch>
                  </pic:blipFill>
                  <pic:spPr>
                    <a:xfrm>
                      <a:off x="0" y="0"/>
                      <a:ext cx="5273040" cy="7451725"/>
                    </a:xfrm>
                    <a:prstGeom prst="rect">
                      <a:avLst/>
                    </a:prstGeom>
                  </pic:spPr>
                </pic:pic>
              </a:graphicData>
            </a:graphic>
          </wp:inline>
        </w:drawing>
      </w: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p>
      <w:pPr>
        <w:spacing w:line="360" w:lineRule="auto"/>
        <w:rPr>
          <w:rFonts w:hint="eastAsia" w:ascii="微软雅黑" w:hAnsi="微软雅黑" w:eastAsia="微软雅黑" w:cs="微软雅黑"/>
          <w:sz w:val="24"/>
          <w:lang w:eastAsia="zh-CN"/>
        </w:rPr>
      </w:pPr>
    </w:p>
    <w:sectPr>
      <w:footerReference r:id="rId6" w:type="default"/>
      <w:footerReference r:id="rId7" w:type="even"/>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onospace">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103"/>
        <w:tab w:val="clear" w:pos="4153"/>
      </w:tabs>
      <w:rPr>
        <w:lang w:val="en-US"/>
      </w:rPr>
    </w:pPr>
    <w:r>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矩形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9"/>
                            <w:rPr>
                              <w:lang w:val="en-US"/>
                            </w:rPr>
                          </w:pPr>
                          <w:r>
                            <w:rPr>
                              <w:lang w:val="en-US"/>
                            </w:rPr>
                            <w:fldChar w:fldCharType="begin"/>
                          </w:r>
                          <w:r>
                            <w:rPr>
                              <w:lang w:val="en-US"/>
                            </w:rPr>
                            <w:instrText xml:space="preserve"> PAGE  \* MERGEFORMAT </w:instrText>
                          </w:r>
                          <w:r>
                            <w:rPr>
                              <w:lang w:val="en-US"/>
                            </w:rPr>
                            <w:fldChar w:fldCharType="separate"/>
                          </w:r>
                          <w:r>
                            <w:rPr>
                              <w:lang w:val="en-US"/>
                            </w:rPr>
                            <w:t>２</w:t>
                          </w:r>
                          <w:r>
                            <w:rPr>
                              <w:lang w:val="en-US"/>
                            </w:rPr>
                            <w:fldChar w:fldCharType="end"/>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4cAW9vwEAAIwDAAAOAAAAAAAAAAEAIAAAAB8BAABkcnMvZTJvRG9jLnhtbFBLBQYA&#10;AAAABgAGAFkBAABQBQAAAAA=&#10;">
              <v:fill on="f" focussize="0,0"/>
              <v:stroke on="f"/>
              <v:imagedata o:title=""/>
              <o:lock v:ext="edit" aspectratio="f"/>
              <v:textbox inset="0mm,0mm,0mm,0mm" style="mso-fit-shape-to-text:t;">
                <w:txbxContent>
                  <w:p>
                    <w:pPr>
                      <w:pStyle w:val="9"/>
                      <w:rPr>
                        <w:lang w:val="en-US"/>
                      </w:rPr>
                    </w:pPr>
                    <w:r>
                      <w:rPr>
                        <w:lang w:val="en-US"/>
                      </w:rPr>
                      <w:fldChar w:fldCharType="begin"/>
                    </w:r>
                    <w:r>
                      <w:rPr>
                        <w:lang w:val="en-US"/>
                      </w:rPr>
                      <w:instrText xml:space="preserve"> PAGE  \* MERGEFORMAT </w:instrText>
                    </w:r>
                    <w:r>
                      <w:rPr>
                        <w:lang w:val="en-US"/>
                      </w:rPr>
                      <w:fldChar w:fldCharType="separate"/>
                    </w:r>
                    <w:r>
                      <w:rPr>
                        <w:lang w:val="en-US"/>
                      </w:rPr>
                      <w:t>２</w:t>
                    </w:r>
                    <w:r>
                      <w:rPr>
                        <w:lang w:val="en-US"/>
                      </w:rPr>
                      <w:fldChar w:fldCharType="end"/>
                    </w:r>
                  </w:p>
                </w:txbxContent>
              </v:textbox>
            </v:rect>
          </w:pict>
        </mc:Fallback>
      </mc:AlternateContent>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227"/>
        <w:tab w:val="right" w:pos="19857"/>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E2480D"/>
    <w:multiLevelType w:val="multilevel"/>
    <w:tmpl w:val="2EE2480D"/>
    <w:lvl w:ilvl="0" w:tentative="0">
      <w:start w:val="1"/>
      <w:numFmt w:val="decimal"/>
      <w:lvlText w:val="%1."/>
      <w:lvlJc w:val="left"/>
      <w:pPr>
        <w:tabs>
          <w:tab w:val="left" w:pos="420"/>
        </w:tabs>
        <w:ind w:left="420" w:hanging="420"/>
      </w:pPr>
      <w:rPr>
        <w:b w:val="0"/>
        <w:i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E8998E1"/>
    <w:multiLevelType w:val="singleLevel"/>
    <w:tmpl w:val="6E8998E1"/>
    <w:lvl w:ilvl="0" w:tentative="0">
      <w:start w:val="2"/>
      <w:numFmt w:val="decimal"/>
      <w:suff w:val="nothing"/>
      <w:lvlText w:val="%1、"/>
      <w:lvlJc w:val="left"/>
      <w:pPr>
        <w:ind w:left="720" w:leftChars="0" w:firstLine="0" w:firstLineChars="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iNTkyYzk4NDdiZGQ3ZWJjNjI5MDFjNTg3MWJhZWQifQ=="/>
    <w:docVar w:name="KSO_WPS_MARK_KEY" w:val="77385ce2-46cc-4318-adb0-fd1a287f9ede"/>
  </w:docVars>
  <w:rsids>
    <w:rsidRoot w:val="00172A27"/>
    <w:rsid w:val="0000012F"/>
    <w:rsid w:val="00001109"/>
    <w:rsid w:val="000046DD"/>
    <w:rsid w:val="00005A82"/>
    <w:rsid w:val="000108B0"/>
    <w:rsid w:val="00013135"/>
    <w:rsid w:val="0001396D"/>
    <w:rsid w:val="00013AA9"/>
    <w:rsid w:val="00015380"/>
    <w:rsid w:val="000157EE"/>
    <w:rsid w:val="00017F9E"/>
    <w:rsid w:val="000236DD"/>
    <w:rsid w:val="00025CD6"/>
    <w:rsid w:val="000307F7"/>
    <w:rsid w:val="00030B9A"/>
    <w:rsid w:val="00031BD0"/>
    <w:rsid w:val="00031D80"/>
    <w:rsid w:val="00034401"/>
    <w:rsid w:val="0003479A"/>
    <w:rsid w:val="00036E71"/>
    <w:rsid w:val="0004294E"/>
    <w:rsid w:val="00042F6D"/>
    <w:rsid w:val="000442C5"/>
    <w:rsid w:val="000463EB"/>
    <w:rsid w:val="000517CD"/>
    <w:rsid w:val="0005252B"/>
    <w:rsid w:val="0005361B"/>
    <w:rsid w:val="000545A5"/>
    <w:rsid w:val="00054924"/>
    <w:rsid w:val="00055A51"/>
    <w:rsid w:val="000563DF"/>
    <w:rsid w:val="00057D11"/>
    <w:rsid w:val="00060866"/>
    <w:rsid w:val="00060F60"/>
    <w:rsid w:val="00062A7F"/>
    <w:rsid w:val="00065EFF"/>
    <w:rsid w:val="000666D9"/>
    <w:rsid w:val="00072399"/>
    <w:rsid w:val="0007275D"/>
    <w:rsid w:val="0007299E"/>
    <w:rsid w:val="00072D21"/>
    <w:rsid w:val="00074CF3"/>
    <w:rsid w:val="00075F61"/>
    <w:rsid w:val="00077638"/>
    <w:rsid w:val="00080203"/>
    <w:rsid w:val="0008110B"/>
    <w:rsid w:val="000815AB"/>
    <w:rsid w:val="000835F3"/>
    <w:rsid w:val="000837B6"/>
    <w:rsid w:val="00084E18"/>
    <w:rsid w:val="00084E6F"/>
    <w:rsid w:val="00092731"/>
    <w:rsid w:val="000A058E"/>
    <w:rsid w:val="000A05C6"/>
    <w:rsid w:val="000A2022"/>
    <w:rsid w:val="000A2FA4"/>
    <w:rsid w:val="000A3D99"/>
    <w:rsid w:val="000A4F93"/>
    <w:rsid w:val="000A52E4"/>
    <w:rsid w:val="000A65E7"/>
    <w:rsid w:val="000B2AE4"/>
    <w:rsid w:val="000B4220"/>
    <w:rsid w:val="000C0EE0"/>
    <w:rsid w:val="000C1BAC"/>
    <w:rsid w:val="000C259B"/>
    <w:rsid w:val="000C56C5"/>
    <w:rsid w:val="000C6861"/>
    <w:rsid w:val="000C73ED"/>
    <w:rsid w:val="000D09A5"/>
    <w:rsid w:val="000D1623"/>
    <w:rsid w:val="000D7D16"/>
    <w:rsid w:val="000E1344"/>
    <w:rsid w:val="000E2849"/>
    <w:rsid w:val="000E2CBD"/>
    <w:rsid w:val="000E2E88"/>
    <w:rsid w:val="000E5292"/>
    <w:rsid w:val="000E5EBA"/>
    <w:rsid w:val="000F0EAD"/>
    <w:rsid w:val="000F2035"/>
    <w:rsid w:val="000F3070"/>
    <w:rsid w:val="000F3617"/>
    <w:rsid w:val="000F38CE"/>
    <w:rsid w:val="000F4FAD"/>
    <w:rsid w:val="000F5C4E"/>
    <w:rsid w:val="00101A70"/>
    <w:rsid w:val="0010492D"/>
    <w:rsid w:val="00104AF3"/>
    <w:rsid w:val="00104C60"/>
    <w:rsid w:val="001062C1"/>
    <w:rsid w:val="00110363"/>
    <w:rsid w:val="0011113D"/>
    <w:rsid w:val="00112BCF"/>
    <w:rsid w:val="00113612"/>
    <w:rsid w:val="001160D4"/>
    <w:rsid w:val="00116892"/>
    <w:rsid w:val="00116952"/>
    <w:rsid w:val="00117B8C"/>
    <w:rsid w:val="00117BD0"/>
    <w:rsid w:val="0012192A"/>
    <w:rsid w:val="00121BEE"/>
    <w:rsid w:val="00126C3D"/>
    <w:rsid w:val="00130DA9"/>
    <w:rsid w:val="001312A9"/>
    <w:rsid w:val="001321C1"/>
    <w:rsid w:val="001323FA"/>
    <w:rsid w:val="00132A8D"/>
    <w:rsid w:val="00132E00"/>
    <w:rsid w:val="00135150"/>
    <w:rsid w:val="001363D3"/>
    <w:rsid w:val="001376C2"/>
    <w:rsid w:val="00137743"/>
    <w:rsid w:val="00141CC1"/>
    <w:rsid w:val="00142AE8"/>
    <w:rsid w:val="00143816"/>
    <w:rsid w:val="00145D5E"/>
    <w:rsid w:val="00147298"/>
    <w:rsid w:val="00147A72"/>
    <w:rsid w:val="00150FC7"/>
    <w:rsid w:val="00151297"/>
    <w:rsid w:val="00151915"/>
    <w:rsid w:val="00151B8A"/>
    <w:rsid w:val="00154A4A"/>
    <w:rsid w:val="0016015E"/>
    <w:rsid w:val="0016057E"/>
    <w:rsid w:val="00160E91"/>
    <w:rsid w:val="001621CC"/>
    <w:rsid w:val="001706BA"/>
    <w:rsid w:val="001708A7"/>
    <w:rsid w:val="00171499"/>
    <w:rsid w:val="001724B8"/>
    <w:rsid w:val="00172A27"/>
    <w:rsid w:val="001735B2"/>
    <w:rsid w:val="001736DD"/>
    <w:rsid w:val="001739F4"/>
    <w:rsid w:val="00173A75"/>
    <w:rsid w:val="00174988"/>
    <w:rsid w:val="00186E6F"/>
    <w:rsid w:val="00187B8B"/>
    <w:rsid w:val="00190B01"/>
    <w:rsid w:val="001910BA"/>
    <w:rsid w:val="00191835"/>
    <w:rsid w:val="00194151"/>
    <w:rsid w:val="00195C18"/>
    <w:rsid w:val="00197B40"/>
    <w:rsid w:val="001A004E"/>
    <w:rsid w:val="001A14BE"/>
    <w:rsid w:val="001A156B"/>
    <w:rsid w:val="001A4201"/>
    <w:rsid w:val="001A62B8"/>
    <w:rsid w:val="001A66C0"/>
    <w:rsid w:val="001B055D"/>
    <w:rsid w:val="001B3EA8"/>
    <w:rsid w:val="001B4440"/>
    <w:rsid w:val="001C1AC2"/>
    <w:rsid w:val="001C3901"/>
    <w:rsid w:val="001C4C36"/>
    <w:rsid w:val="001C572A"/>
    <w:rsid w:val="001C5C4A"/>
    <w:rsid w:val="001C7719"/>
    <w:rsid w:val="001C7F2D"/>
    <w:rsid w:val="001D2146"/>
    <w:rsid w:val="001D2D1A"/>
    <w:rsid w:val="001D6888"/>
    <w:rsid w:val="001D6A92"/>
    <w:rsid w:val="001D7747"/>
    <w:rsid w:val="001D7F8F"/>
    <w:rsid w:val="001E0A2E"/>
    <w:rsid w:val="001E2207"/>
    <w:rsid w:val="001E2388"/>
    <w:rsid w:val="001E2CFB"/>
    <w:rsid w:val="001E433C"/>
    <w:rsid w:val="001E5362"/>
    <w:rsid w:val="001E5808"/>
    <w:rsid w:val="001E609C"/>
    <w:rsid w:val="001E6AB0"/>
    <w:rsid w:val="001E75DF"/>
    <w:rsid w:val="001F1F78"/>
    <w:rsid w:val="001F21E6"/>
    <w:rsid w:val="001F5ABB"/>
    <w:rsid w:val="001F5EBF"/>
    <w:rsid w:val="001F6136"/>
    <w:rsid w:val="00200263"/>
    <w:rsid w:val="0020235C"/>
    <w:rsid w:val="002042F9"/>
    <w:rsid w:val="00204FBB"/>
    <w:rsid w:val="0020610C"/>
    <w:rsid w:val="00206F1D"/>
    <w:rsid w:val="002076DD"/>
    <w:rsid w:val="002117E0"/>
    <w:rsid w:val="00214B32"/>
    <w:rsid w:val="00214FB9"/>
    <w:rsid w:val="00216DA6"/>
    <w:rsid w:val="00220BB9"/>
    <w:rsid w:val="00222413"/>
    <w:rsid w:val="00224260"/>
    <w:rsid w:val="002251B0"/>
    <w:rsid w:val="00230396"/>
    <w:rsid w:val="00231003"/>
    <w:rsid w:val="00232818"/>
    <w:rsid w:val="00233477"/>
    <w:rsid w:val="00237A63"/>
    <w:rsid w:val="0024175F"/>
    <w:rsid w:val="00241A32"/>
    <w:rsid w:val="0025022C"/>
    <w:rsid w:val="0025243C"/>
    <w:rsid w:val="00254999"/>
    <w:rsid w:val="00254DEC"/>
    <w:rsid w:val="00255607"/>
    <w:rsid w:val="0026012E"/>
    <w:rsid w:val="00263936"/>
    <w:rsid w:val="00263AFF"/>
    <w:rsid w:val="0026699C"/>
    <w:rsid w:val="00267938"/>
    <w:rsid w:val="00275F6F"/>
    <w:rsid w:val="00276668"/>
    <w:rsid w:val="0028118D"/>
    <w:rsid w:val="002820B7"/>
    <w:rsid w:val="00282AD6"/>
    <w:rsid w:val="002872EE"/>
    <w:rsid w:val="00287A8C"/>
    <w:rsid w:val="00290F9F"/>
    <w:rsid w:val="00291B4E"/>
    <w:rsid w:val="00292E82"/>
    <w:rsid w:val="00293E1C"/>
    <w:rsid w:val="0029491D"/>
    <w:rsid w:val="00296DD5"/>
    <w:rsid w:val="002A21A9"/>
    <w:rsid w:val="002A3500"/>
    <w:rsid w:val="002A3668"/>
    <w:rsid w:val="002A79EB"/>
    <w:rsid w:val="002C0BD6"/>
    <w:rsid w:val="002C2CF7"/>
    <w:rsid w:val="002C34F5"/>
    <w:rsid w:val="002C3552"/>
    <w:rsid w:val="002C610D"/>
    <w:rsid w:val="002C66BE"/>
    <w:rsid w:val="002D122C"/>
    <w:rsid w:val="002D1BA7"/>
    <w:rsid w:val="002D3DE0"/>
    <w:rsid w:val="002D4C6D"/>
    <w:rsid w:val="002D58A7"/>
    <w:rsid w:val="002D61A5"/>
    <w:rsid w:val="002D713F"/>
    <w:rsid w:val="002D7199"/>
    <w:rsid w:val="002E0248"/>
    <w:rsid w:val="002E05A1"/>
    <w:rsid w:val="002E0A8C"/>
    <w:rsid w:val="002E0ED4"/>
    <w:rsid w:val="002E197F"/>
    <w:rsid w:val="002E5EAC"/>
    <w:rsid w:val="002E600F"/>
    <w:rsid w:val="002F1458"/>
    <w:rsid w:val="002F1FDD"/>
    <w:rsid w:val="002F3E3B"/>
    <w:rsid w:val="002F5620"/>
    <w:rsid w:val="002F6534"/>
    <w:rsid w:val="002F6E4A"/>
    <w:rsid w:val="003041BA"/>
    <w:rsid w:val="0030799D"/>
    <w:rsid w:val="00310ECF"/>
    <w:rsid w:val="0031333C"/>
    <w:rsid w:val="00313934"/>
    <w:rsid w:val="003153D7"/>
    <w:rsid w:val="00316B5C"/>
    <w:rsid w:val="00320A82"/>
    <w:rsid w:val="0032283F"/>
    <w:rsid w:val="00322F58"/>
    <w:rsid w:val="003267BB"/>
    <w:rsid w:val="00327554"/>
    <w:rsid w:val="00331706"/>
    <w:rsid w:val="0033252C"/>
    <w:rsid w:val="003329FF"/>
    <w:rsid w:val="00333964"/>
    <w:rsid w:val="00333DB9"/>
    <w:rsid w:val="00334542"/>
    <w:rsid w:val="0033555F"/>
    <w:rsid w:val="0033577F"/>
    <w:rsid w:val="003404DA"/>
    <w:rsid w:val="003411EB"/>
    <w:rsid w:val="00341D4B"/>
    <w:rsid w:val="00341E9F"/>
    <w:rsid w:val="0034296C"/>
    <w:rsid w:val="003446D4"/>
    <w:rsid w:val="0034494F"/>
    <w:rsid w:val="00346D92"/>
    <w:rsid w:val="003470F9"/>
    <w:rsid w:val="00347339"/>
    <w:rsid w:val="00352D26"/>
    <w:rsid w:val="003534B0"/>
    <w:rsid w:val="00354C95"/>
    <w:rsid w:val="00354F11"/>
    <w:rsid w:val="00355DB9"/>
    <w:rsid w:val="00356363"/>
    <w:rsid w:val="0035762B"/>
    <w:rsid w:val="0035784F"/>
    <w:rsid w:val="003607DF"/>
    <w:rsid w:val="00360F29"/>
    <w:rsid w:val="0036465A"/>
    <w:rsid w:val="00366C07"/>
    <w:rsid w:val="00366CF3"/>
    <w:rsid w:val="00367B33"/>
    <w:rsid w:val="00371533"/>
    <w:rsid w:val="00373154"/>
    <w:rsid w:val="0037342D"/>
    <w:rsid w:val="00374D19"/>
    <w:rsid w:val="003759FA"/>
    <w:rsid w:val="00376F2B"/>
    <w:rsid w:val="00380665"/>
    <w:rsid w:val="00382DBB"/>
    <w:rsid w:val="0038362C"/>
    <w:rsid w:val="00384063"/>
    <w:rsid w:val="00384FDF"/>
    <w:rsid w:val="003916E5"/>
    <w:rsid w:val="00394AFE"/>
    <w:rsid w:val="0039589D"/>
    <w:rsid w:val="00397FA5"/>
    <w:rsid w:val="003A4BB2"/>
    <w:rsid w:val="003A73AF"/>
    <w:rsid w:val="003A74F6"/>
    <w:rsid w:val="003A78A8"/>
    <w:rsid w:val="003B2F2E"/>
    <w:rsid w:val="003B340F"/>
    <w:rsid w:val="003B43C6"/>
    <w:rsid w:val="003B4F44"/>
    <w:rsid w:val="003B5271"/>
    <w:rsid w:val="003B54E9"/>
    <w:rsid w:val="003C0247"/>
    <w:rsid w:val="003C1B16"/>
    <w:rsid w:val="003C40E9"/>
    <w:rsid w:val="003C5331"/>
    <w:rsid w:val="003C7FE5"/>
    <w:rsid w:val="003D196D"/>
    <w:rsid w:val="003D252C"/>
    <w:rsid w:val="003D3779"/>
    <w:rsid w:val="003D55F5"/>
    <w:rsid w:val="003D76D9"/>
    <w:rsid w:val="003E3A72"/>
    <w:rsid w:val="003E4C71"/>
    <w:rsid w:val="003E5B51"/>
    <w:rsid w:val="003E72EA"/>
    <w:rsid w:val="003F660C"/>
    <w:rsid w:val="00400224"/>
    <w:rsid w:val="00401D43"/>
    <w:rsid w:val="0040220B"/>
    <w:rsid w:val="004039D7"/>
    <w:rsid w:val="0040623A"/>
    <w:rsid w:val="004062C5"/>
    <w:rsid w:val="004066BC"/>
    <w:rsid w:val="00410DA8"/>
    <w:rsid w:val="00411192"/>
    <w:rsid w:val="00411DA6"/>
    <w:rsid w:val="00413766"/>
    <w:rsid w:val="00413BB3"/>
    <w:rsid w:val="00413F05"/>
    <w:rsid w:val="00416CA4"/>
    <w:rsid w:val="00417F54"/>
    <w:rsid w:val="004203EC"/>
    <w:rsid w:val="004224F0"/>
    <w:rsid w:val="004237CE"/>
    <w:rsid w:val="004318EE"/>
    <w:rsid w:val="00433E34"/>
    <w:rsid w:val="00435C1B"/>
    <w:rsid w:val="00436985"/>
    <w:rsid w:val="00437DEC"/>
    <w:rsid w:val="004408CE"/>
    <w:rsid w:val="0044296C"/>
    <w:rsid w:val="004468BE"/>
    <w:rsid w:val="00450C5C"/>
    <w:rsid w:val="00450D9E"/>
    <w:rsid w:val="004511F5"/>
    <w:rsid w:val="0045148B"/>
    <w:rsid w:val="00451A38"/>
    <w:rsid w:val="00452B6A"/>
    <w:rsid w:val="00452FBB"/>
    <w:rsid w:val="00454962"/>
    <w:rsid w:val="004561FA"/>
    <w:rsid w:val="004575EE"/>
    <w:rsid w:val="00457BCD"/>
    <w:rsid w:val="00457BED"/>
    <w:rsid w:val="00462E1F"/>
    <w:rsid w:val="00464476"/>
    <w:rsid w:val="00464604"/>
    <w:rsid w:val="004646B5"/>
    <w:rsid w:val="004678D6"/>
    <w:rsid w:val="00467BFA"/>
    <w:rsid w:val="00467FCB"/>
    <w:rsid w:val="004735AB"/>
    <w:rsid w:val="00474734"/>
    <w:rsid w:val="004758D1"/>
    <w:rsid w:val="004768B4"/>
    <w:rsid w:val="00477616"/>
    <w:rsid w:val="00477ADC"/>
    <w:rsid w:val="00481D6E"/>
    <w:rsid w:val="004833F7"/>
    <w:rsid w:val="004843EE"/>
    <w:rsid w:val="004847AD"/>
    <w:rsid w:val="00485C3E"/>
    <w:rsid w:val="00486BF4"/>
    <w:rsid w:val="00492838"/>
    <w:rsid w:val="0049312F"/>
    <w:rsid w:val="00493CFA"/>
    <w:rsid w:val="00494D7F"/>
    <w:rsid w:val="00495101"/>
    <w:rsid w:val="00497E35"/>
    <w:rsid w:val="004A0761"/>
    <w:rsid w:val="004A0834"/>
    <w:rsid w:val="004A218F"/>
    <w:rsid w:val="004A25D1"/>
    <w:rsid w:val="004A35F3"/>
    <w:rsid w:val="004A40E6"/>
    <w:rsid w:val="004A41F9"/>
    <w:rsid w:val="004A5CC2"/>
    <w:rsid w:val="004A68FA"/>
    <w:rsid w:val="004B51D5"/>
    <w:rsid w:val="004B5494"/>
    <w:rsid w:val="004B6D3B"/>
    <w:rsid w:val="004C25DC"/>
    <w:rsid w:val="004C2C66"/>
    <w:rsid w:val="004C3C7D"/>
    <w:rsid w:val="004C5612"/>
    <w:rsid w:val="004C672C"/>
    <w:rsid w:val="004C78A6"/>
    <w:rsid w:val="004C7C26"/>
    <w:rsid w:val="004D10E1"/>
    <w:rsid w:val="004D1436"/>
    <w:rsid w:val="004D16BA"/>
    <w:rsid w:val="004D21EB"/>
    <w:rsid w:val="004D25F0"/>
    <w:rsid w:val="004D3B42"/>
    <w:rsid w:val="004D6885"/>
    <w:rsid w:val="004E0034"/>
    <w:rsid w:val="004E1507"/>
    <w:rsid w:val="004E32D2"/>
    <w:rsid w:val="004F089D"/>
    <w:rsid w:val="004F13B7"/>
    <w:rsid w:val="004F1912"/>
    <w:rsid w:val="004F3041"/>
    <w:rsid w:val="004F3AA3"/>
    <w:rsid w:val="004F435B"/>
    <w:rsid w:val="004F6FCE"/>
    <w:rsid w:val="005001F7"/>
    <w:rsid w:val="005040C0"/>
    <w:rsid w:val="00504448"/>
    <w:rsid w:val="00504D3F"/>
    <w:rsid w:val="005117C4"/>
    <w:rsid w:val="00512414"/>
    <w:rsid w:val="00513596"/>
    <w:rsid w:val="00514586"/>
    <w:rsid w:val="00520F9E"/>
    <w:rsid w:val="0052331E"/>
    <w:rsid w:val="00523BFD"/>
    <w:rsid w:val="00523D3C"/>
    <w:rsid w:val="005247FC"/>
    <w:rsid w:val="00525376"/>
    <w:rsid w:val="0052718D"/>
    <w:rsid w:val="00532EF1"/>
    <w:rsid w:val="0053657B"/>
    <w:rsid w:val="00536D8B"/>
    <w:rsid w:val="00536F67"/>
    <w:rsid w:val="005428EC"/>
    <w:rsid w:val="005432CE"/>
    <w:rsid w:val="00544CCB"/>
    <w:rsid w:val="00545049"/>
    <w:rsid w:val="0054589B"/>
    <w:rsid w:val="00547E72"/>
    <w:rsid w:val="00550B7E"/>
    <w:rsid w:val="00555604"/>
    <w:rsid w:val="005573F0"/>
    <w:rsid w:val="005614DF"/>
    <w:rsid w:val="0056164F"/>
    <w:rsid w:val="00561E03"/>
    <w:rsid w:val="00563811"/>
    <w:rsid w:val="00564948"/>
    <w:rsid w:val="00565D91"/>
    <w:rsid w:val="00565E4F"/>
    <w:rsid w:val="0056638D"/>
    <w:rsid w:val="00571F86"/>
    <w:rsid w:val="0057236E"/>
    <w:rsid w:val="00572800"/>
    <w:rsid w:val="005728D2"/>
    <w:rsid w:val="00573C35"/>
    <w:rsid w:val="00573C3E"/>
    <w:rsid w:val="0057787A"/>
    <w:rsid w:val="00582B03"/>
    <w:rsid w:val="00583B72"/>
    <w:rsid w:val="005859A8"/>
    <w:rsid w:val="0058685E"/>
    <w:rsid w:val="00587BE3"/>
    <w:rsid w:val="005920A9"/>
    <w:rsid w:val="005928E5"/>
    <w:rsid w:val="0059291C"/>
    <w:rsid w:val="00593025"/>
    <w:rsid w:val="00593B18"/>
    <w:rsid w:val="00594CD0"/>
    <w:rsid w:val="00596476"/>
    <w:rsid w:val="00596871"/>
    <w:rsid w:val="00596D24"/>
    <w:rsid w:val="005A3E89"/>
    <w:rsid w:val="005A3EC2"/>
    <w:rsid w:val="005A4019"/>
    <w:rsid w:val="005A441C"/>
    <w:rsid w:val="005A5C3A"/>
    <w:rsid w:val="005A5EDC"/>
    <w:rsid w:val="005A6518"/>
    <w:rsid w:val="005A68C1"/>
    <w:rsid w:val="005A6BC5"/>
    <w:rsid w:val="005B1759"/>
    <w:rsid w:val="005B381B"/>
    <w:rsid w:val="005B4134"/>
    <w:rsid w:val="005B6D92"/>
    <w:rsid w:val="005C3475"/>
    <w:rsid w:val="005C39FD"/>
    <w:rsid w:val="005C3AC8"/>
    <w:rsid w:val="005C4904"/>
    <w:rsid w:val="005C5798"/>
    <w:rsid w:val="005D4964"/>
    <w:rsid w:val="005D4AF9"/>
    <w:rsid w:val="005D661B"/>
    <w:rsid w:val="005E1E7F"/>
    <w:rsid w:val="005E3CB5"/>
    <w:rsid w:val="005E52D9"/>
    <w:rsid w:val="005F0524"/>
    <w:rsid w:val="005F53F2"/>
    <w:rsid w:val="005F7ED0"/>
    <w:rsid w:val="00600214"/>
    <w:rsid w:val="006008B0"/>
    <w:rsid w:val="00601C56"/>
    <w:rsid w:val="00602B40"/>
    <w:rsid w:val="00603B15"/>
    <w:rsid w:val="00611D65"/>
    <w:rsid w:val="006124A3"/>
    <w:rsid w:val="00612EE0"/>
    <w:rsid w:val="006136E7"/>
    <w:rsid w:val="006139DD"/>
    <w:rsid w:val="00614BC2"/>
    <w:rsid w:val="00616E3F"/>
    <w:rsid w:val="00617018"/>
    <w:rsid w:val="00617F7B"/>
    <w:rsid w:val="0062045C"/>
    <w:rsid w:val="00620471"/>
    <w:rsid w:val="00621428"/>
    <w:rsid w:val="00623922"/>
    <w:rsid w:val="006268FC"/>
    <w:rsid w:val="00626D48"/>
    <w:rsid w:val="00630C4E"/>
    <w:rsid w:val="00632079"/>
    <w:rsid w:val="00632DFD"/>
    <w:rsid w:val="00633CF4"/>
    <w:rsid w:val="0063409F"/>
    <w:rsid w:val="006349D2"/>
    <w:rsid w:val="00634E92"/>
    <w:rsid w:val="00637E7E"/>
    <w:rsid w:val="006408D6"/>
    <w:rsid w:val="006426E8"/>
    <w:rsid w:val="00644EE1"/>
    <w:rsid w:val="00645B9F"/>
    <w:rsid w:val="00645BA8"/>
    <w:rsid w:val="00646A9A"/>
    <w:rsid w:val="00646B6B"/>
    <w:rsid w:val="006504A3"/>
    <w:rsid w:val="0065135F"/>
    <w:rsid w:val="00653123"/>
    <w:rsid w:val="00653EB6"/>
    <w:rsid w:val="00655344"/>
    <w:rsid w:val="00657658"/>
    <w:rsid w:val="006602C9"/>
    <w:rsid w:val="006636AD"/>
    <w:rsid w:val="00663AB5"/>
    <w:rsid w:val="00663D70"/>
    <w:rsid w:val="00664162"/>
    <w:rsid w:val="0066459E"/>
    <w:rsid w:val="0066485C"/>
    <w:rsid w:val="006665EA"/>
    <w:rsid w:val="0067097A"/>
    <w:rsid w:val="0067301F"/>
    <w:rsid w:val="006746AA"/>
    <w:rsid w:val="00675EFD"/>
    <w:rsid w:val="006767FB"/>
    <w:rsid w:val="00677221"/>
    <w:rsid w:val="00677CBC"/>
    <w:rsid w:val="00677F50"/>
    <w:rsid w:val="00682ACC"/>
    <w:rsid w:val="006913DF"/>
    <w:rsid w:val="00691611"/>
    <w:rsid w:val="00695F3A"/>
    <w:rsid w:val="006970BC"/>
    <w:rsid w:val="006A23B2"/>
    <w:rsid w:val="006A2CEE"/>
    <w:rsid w:val="006A62F4"/>
    <w:rsid w:val="006A760A"/>
    <w:rsid w:val="006A78EB"/>
    <w:rsid w:val="006B03AE"/>
    <w:rsid w:val="006B09E9"/>
    <w:rsid w:val="006B1777"/>
    <w:rsid w:val="006B1995"/>
    <w:rsid w:val="006B1EFA"/>
    <w:rsid w:val="006B30ED"/>
    <w:rsid w:val="006B55DB"/>
    <w:rsid w:val="006C1C26"/>
    <w:rsid w:val="006C354E"/>
    <w:rsid w:val="006D0365"/>
    <w:rsid w:val="006D21B0"/>
    <w:rsid w:val="006D351A"/>
    <w:rsid w:val="006D6DDF"/>
    <w:rsid w:val="006E0D92"/>
    <w:rsid w:val="006E0DED"/>
    <w:rsid w:val="006E3E16"/>
    <w:rsid w:val="006E7280"/>
    <w:rsid w:val="006F0749"/>
    <w:rsid w:val="006F1E27"/>
    <w:rsid w:val="006F3545"/>
    <w:rsid w:val="006F455B"/>
    <w:rsid w:val="006F45F7"/>
    <w:rsid w:val="006F4AC9"/>
    <w:rsid w:val="006F619D"/>
    <w:rsid w:val="00703047"/>
    <w:rsid w:val="0070548B"/>
    <w:rsid w:val="00707F1A"/>
    <w:rsid w:val="00710571"/>
    <w:rsid w:val="007125E7"/>
    <w:rsid w:val="007160C4"/>
    <w:rsid w:val="007172A7"/>
    <w:rsid w:val="00717C88"/>
    <w:rsid w:val="007201A0"/>
    <w:rsid w:val="007218C7"/>
    <w:rsid w:val="00724BAF"/>
    <w:rsid w:val="0072513B"/>
    <w:rsid w:val="007255F2"/>
    <w:rsid w:val="00726528"/>
    <w:rsid w:val="00726CF2"/>
    <w:rsid w:val="00731CBF"/>
    <w:rsid w:val="0073213C"/>
    <w:rsid w:val="007331D2"/>
    <w:rsid w:val="0073410A"/>
    <w:rsid w:val="0073699B"/>
    <w:rsid w:val="00737E76"/>
    <w:rsid w:val="00742A28"/>
    <w:rsid w:val="00747808"/>
    <w:rsid w:val="00750457"/>
    <w:rsid w:val="00751CEA"/>
    <w:rsid w:val="00752982"/>
    <w:rsid w:val="00755035"/>
    <w:rsid w:val="00755606"/>
    <w:rsid w:val="0075593A"/>
    <w:rsid w:val="00756DA9"/>
    <w:rsid w:val="0075793A"/>
    <w:rsid w:val="00757C9E"/>
    <w:rsid w:val="00765A11"/>
    <w:rsid w:val="00766B14"/>
    <w:rsid w:val="00771C80"/>
    <w:rsid w:val="00772612"/>
    <w:rsid w:val="00772FEC"/>
    <w:rsid w:val="00774907"/>
    <w:rsid w:val="007750FA"/>
    <w:rsid w:val="007801C9"/>
    <w:rsid w:val="00780898"/>
    <w:rsid w:val="00781463"/>
    <w:rsid w:val="00782CEF"/>
    <w:rsid w:val="007860EA"/>
    <w:rsid w:val="007862D7"/>
    <w:rsid w:val="0078778D"/>
    <w:rsid w:val="00791552"/>
    <w:rsid w:val="00792782"/>
    <w:rsid w:val="00794A6D"/>
    <w:rsid w:val="00794C29"/>
    <w:rsid w:val="007959D9"/>
    <w:rsid w:val="007A04EA"/>
    <w:rsid w:val="007A1723"/>
    <w:rsid w:val="007A2599"/>
    <w:rsid w:val="007A3496"/>
    <w:rsid w:val="007B2241"/>
    <w:rsid w:val="007B2DBC"/>
    <w:rsid w:val="007B38F6"/>
    <w:rsid w:val="007B4287"/>
    <w:rsid w:val="007B4AD0"/>
    <w:rsid w:val="007B57E8"/>
    <w:rsid w:val="007B5CCB"/>
    <w:rsid w:val="007B6614"/>
    <w:rsid w:val="007B6D23"/>
    <w:rsid w:val="007B7E8E"/>
    <w:rsid w:val="007B7EF1"/>
    <w:rsid w:val="007C08E2"/>
    <w:rsid w:val="007C1CD9"/>
    <w:rsid w:val="007C3166"/>
    <w:rsid w:val="007C43F7"/>
    <w:rsid w:val="007C5048"/>
    <w:rsid w:val="007C5A48"/>
    <w:rsid w:val="007D2626"/>
    <w:rsid w:val="007D5EEB"/>
    <w:rsid w:val="007D64EE"/>
    <w:rsid w:val="007D6619"/>
    <w:rsid w:val="007E0D49"/>
    <w:rsid w:val="007E121B"/>
    <w:rsid w:val="007E1933"/>
    <w:rsid w:val="007E2C74"/>
    <w:rsid w:val="007E2F67"/>
    <w:rsid w:val="007E372A"/>
    <w:rsid w:val="007E529C"/>
    <w:rsid w:val="007E5A09"/>
    <w:rsid w:val="007E648A"/>
    <w:rsid w:val="007E65A8"/>
    <w:rsid w:val="007F04E9"/>
    <w:rsid w:val="007F4337"/>
    <w:rsid w:val="007F4C6C"/>
    <w:rsid w:val="007F5F11"/>
    <w:rsid w:val="008021C1"/>
    <w:rsid w:val="00805EB9"/>
    <w:rsid w:val="0081049E"/>
    <w:rsid w:val="00810C0D"/>
    <w:rsid w:val="008124C7"/>
    <w:rsid w:val="00814669"/>
    <w:rsid w:val="00814E3E"/>
    <w:rsid w:val="00814EB2"/>
    <w:rsid w:val="008163CF"/>
    <w:rsid w:val="008241EC"/>
    <w:rsid w:val="00830467"/>
    <w:rsid w:val="0083228F"/>
    <w:rsid w:val="0083244A"/>
    <w:rsid w:val="00833BAE"/>
    <w:rsid w:val="008348AE"/>
    <w:rsid w:val="00835D89"/>
    <w:rsid w:val="008367D4"/>
    <w:rsid w:val="008379C7"/>
    <w:rsid w:val="00837AB5"/>
    <w:rsid w:val="00840298"/>
    <w:rsid w:val="00840AF3"/>
    <w:rsid w:val="0084157C"/>
    <w:rsid w:val="00842F07"/>
    <w:rsid w:val="00843D1B"/>
    <w:rsid w:val="0084405E"/>
    <w:rsid w:val="00846387"/>
    <w:rsid w:val="00846B4F"/>
    <w:rsid w:val="00847772"/>
    <w:rsid w:val="008507B2"/>
    <w:rsid w:val="00853413"/>
    <w:rsid w:val="00854FF3"/>
    <w:rsid w:val="00860E1F"/>
    <w:rsid w:val="00861A2B"/>
    <w:rsid w:val="00862C4A"/>
    <w:rsid w:val="00863D1F"/>
    <w:rsid w:val="00864B97"/>
    <w:rsid w:val="008667DB"/>
    <w:rsid w:val="00866E63"/>
    <w:rsid w:val="00867416"/>
    <w:rsid w:val="0087200D"/>
    <w:rsid w:val="00873386"/>
    <w:rsid w:val="00881943"/>
    <w:rsid w:val="008819D8"/>
    <w:rsid w:val="00883E92"/>
    <w:rsid w:val="0088630E"/>
    <w:rsid w:val="0089079B"/>
    <w:rsid w:val="0089158F"/>
    <w:rsid w:val="00891FDC"/>
    <w:rsid w:val="008939A4"/>
    <w:rsid w:val="00896749"/>
    <w:rsid w:val="008967CF"/>
    <w:rsid w:val="0089700A"/>
    <w:rsid w:val="008A01F0"/>
    <w:rsid w:val="008A197C"/>
    <w:rsid w:val="008A1A42"/>
    <w:rsid w:val="008A3FDA"/>
    <w:rsid w:val="008A6B65"/>
    <w:rsid w:val="008A7E31"/>
    <w:rsid w:val="008A7F15"/>
    <w:rsid w:val="008B1A39"/>
    <w:rsid w:val="008B4B73"/>
    <w:rsid w:val="008C1557"/>
    <w:rsid w:val="008C3911"/>
    <w:rsid w:val="008C4A4F"/>
    <w:rsid w:val="008C5D03"/>
    <w:rsid w:val="008C61E7"/>
    <w:rsid w:val="008C65EF"/>
    <w:rsid w:val="008D0915"/>
    <w:rsid w:val="008D2E35"/>
    <w:rsid w:val="008D73BE"/>
    <w:rsid w:val="008D785D"/>
    <w:rsid w:val="008D7C1B"/>
    <w:rsid w:val="008E17FA"/>
    <w:rsid w:val="008E3096"/>
    <w:rsid w:val="008E511A"/>
    <w:rsid w:val="008E6F65"/>
    <w:rsid w:val="008F2368"/>
    <w:rsid w:val="008F5536"/>
    <w:rsid w:val="008F6805"/>
    <w:rsid w:val="008F734F"/>
    <w:rsid w:val="009012DD"/>
    <w:rsid w:val="0090353F"/>
    <w:rsid w:val="0090424F"/>
    <w:rsid w:val="00904E90"/>
    <w:rsid w:val="009055BD"/>
    <w:rsid w:val="00905DCF"/>
    <w:rsid w:val="009108A6"/>
    <w:rsid w:val="00911B91"/>
    <w:rsid w:val="009130F0"/>
    <w:rsid w:val="00922CA9"/>
    <w:rsid w:val="00925332"/>
    <w:rsid w:val="00925717"/>
    <w:rsid w:val="009269ED"/>
    <w:rsid w:val="00926BBE"/>
    <w:rsid w:val="0092718D"/>
    <w:rsid w:val="00927542"/>
    <w:rsid w:val="0092775E"/>
    <w:rsid w:val="00937BEF"/>
    <w:rsid w:val="00940FDD"/>
    <w:rsid w:val="00942AE8"/>
    <w:rsid w:val="00943B63"/>
    <w:rsid w:val="0094429A"/>
    <w:rsid w:val="009443BC"/>
    <w:rsid w:val="00945F2C"/>
    <w:rsid w:val="00951067"/>
    <w:rsid w:val="00951221"/>
    <w:rsid w:val="00952AB4"/>
    <w:rsid w:val="009556BF"/>
    <w:rsid w:val="00957E98"/>
    <w:rsid w:val="009633D0"/>
    <w:rsid w:val="009633EC"/>
    <w:rsid w:val="00970F3F"/>
    <w:rsid w:val="00981C3B"/>
    <w:rsid w:val="009824BE"/>
    <w:rsid w:val="00987927"/>
    <w:rsid w:val="00990148"/>
    <w:rsid w:val="00992CEC"/>
    <w:rsid w:val="00993903"/>
    <w:rsid w:val="00993B88"/>
    <w:rsid w:val="0099539F"/>
    <w:rsid w:val="00997E10"/>
    <w:rsid w:val="009A012E"/>
    <w:rsid w:val="009A132E"/>
    <w:rsid w:val="009A18D3"/>
    <w:rsid w:val="009A195E"/>
    <w:rsid w:val="009A31B3"/>
    <w:rsid w:val="009A41D4"/>
    <w:rsid w:val="009A5DDA"/>
    <w:rsid w:val="009B0D8D"/>
    <w:rsid w:val="009B17BD"/>
    <w:rsid w:val="009B1801"/>
    <w:rsid w:val="009B18D9"/>
    <w:rsid w:val="009B1D6F"/>
    <w:rsid w:val="009B24A5"/>
    <w:rsid w:val="009B4177"/>
    <w:rsid w:val="009B42C5"/>
    <w:rsid w:val="009B67D0"/>
    <w:rsid w:val="009B7479"/>
    <w:rsid w:val="009C181C"/>
    <w:rsid w:val="009C1D5E"/>
    <w:rsid w:val="009C1E32"/>
    <w:rsid w:val="009C4EBF"/>
    <w:rsid w:val="009D0F05"/>
    <w:rsid w:val="009D2767"/>
    <w:rsid w:val="009D6A8E"/>
    <w:rsid w:val="009E3706"/>
    <w:rsid w:val="009E652D"/>
    <w:rsid w:val="009E7134"/>
    <w:rsid w:val="009E7C30"/>
    <w:rsid w:val="009F3E10"/>
    <w:rsid w:val="009F5369"/>
    <w:rsid w:val="009F69FE"/>
    <w:rsid w:val="00A0028B"/>
    <w:rsid w:val="00A00BD3"/>
    <w:rsid w:val="00A072CA"/>
    <w:rsid w:val="00A0744D"/>
    <w:rsid w:val="00A074F3"/>
    <w:rsid w:val="00A07F35"/>
    <w:rsid w:val="00A102B3"/>
    <w:rsid w:val="00A10F2B"/>
    <w:rsid w:val="00A12E8B"/>
    <w:rsid w:val="00A147C4"/>
    <w:rsid w:val="00A14E2A"/>
    <w:rsid w:val="00A1763E"/>
    <w:rsid w:val="00A17944"/>
    <w:rsid w:val="00A21337"/>
    <w:rsid w:val="00A22037"/>
    <w:rsid w:val="00A231C9"/>
    <w:rsid w:val="00A23C84"/>
    <w:rsid w:val="00A257BD"/>
    <w:rsid w:val="00A27A2D"/>
    <w:rsid w:val="00A32AF6"/>
    <w:rsid w:val="00A3336E"/>
    <w:rsid w:val="00A43157"/>
    <w:rsid w:val="00A43EC8"/>
    <w:rsid w:val="00A52817"/>
    <w:rsid w:val="00A52915"/>
    <w:rsid w:val="00A56755"/>
    <w:rsid w:val="00A567F9"/>
    <w:rsid w:val="00A57863"/>
    <w:rsid w:val="00A608AB"/>
    <w:rsid w:val="00A60E99"/>
    <w:rsid w:val="00A60F0A"/>
    <w:rsid w:val="00A614F2"/>
    <w:rsid w:val="00A63207"/>
    <w:rsid w:val="00A64BDF"/>
    <w:rsid w:val="00A64FF5"/>
    <w:rsid w:val="00A7065F"/>
    <w:rsid w:val="00A7157C"/>
    <w:rsid w:val="00A7197C"/>
    <w:rsid w:val="00A71C0C"/>
    <w:rsid w:val="00A725FC"/>
    <w:rsid w:val="00A72FCE"/>
    <w:rsid w:val="00A73785"/>
    <w:rsid w:val="00A745B2"/>
    <w:rsid w:val="00A773C7"/>
    <w:rsid w:val="00A775D5"/>
    <w:rsid w:val="00A80B6E"/>
    <w:rsid w:val="00A81161"/>
    <w:rsid w:val="00A8234A"/>
    <w:rsid w:val="00A86B4F"/>
    <w:rsid w:val="00A90BD5"/>
    <w:rsid w:val="00A91CAA"/>
    <w:rsid w:val="00A9482A"/>
    <w:rsid w:val="00A96954"/>
    <w:rsid w:val="00A96EE9"/>
    <w:rsid w:val="00A97647"/>
    <w:rsid w:val="00AA096A"/>
    <w:rsid w:val="00AA16B3"/>
    <w:rsid w:val="00AA1C39"/>
    <w:rsid w:val="00AA26A7"/>
    <w:rsid w:val="00AA38F7"/>
    <w:rsid w:val="00AA51C3"/>
    <w:rsid w:val="00AA56F1"/>
    <w:rsid w:val="00AA7A9A"/>
    <w:rsid w:val="00AB24F9"/>
    <w:rsid w:val="00AB2AFE"/>
    <w:rsid w:val="00AB3CDA"/>
    <w:rsid w:val="00AB7F1F"/>
    <w:rsid w:val="00AC042D"/>
    <w:rsid w:val="00AC0699"/>
    <w:rsid w:val="00AC0B67"/>
    <w:rsid w:val="00AC0F10"/>
    <w:rsid w:val="00AC122F"/>
    <w:rsid w:val="00AC16E0"/>
    <w:rsid w:val="00AC2681"/>
    <w:rsid w:val="00AC3A4E"/>
    <w:rsid w:val="00AC3B07"/>
    <w:rsid w:val="00AC4AB7"/>
    <w:rsid w:val="00AC4FAB"/>
    <w:rsid w:val="00AC5BBC"/>
    <w:rsid w:val="00AC6581"/>
    <w:rsid w:val="00AC684B"/>
    <w:rsid w:val="00AD235F"/>
    <w:rsid w:val="00AD4729"/>
    <w:rsid w:val="00AD5C17"/>
    <w:rsid w:val="00AD5E0E"/>
    <w:rsid w:val="00AD7704"/>
    <w:rsid w:val="00AE1B1B"/>
    <w:rsid w:val="00AE375A"/>
    <w:rsid w:val="00AE4665"/>
    <w:rsid w:val="00AE571F"/>
    <w:rsid w:val="00AE722A"/>
    <w:rsid w:val="00AF107A"/>
    <w:rsid w:val="00AF2417"/>
    <w:rsid w:val="00AF4674"/>
    <w:rsid w:val="00AF5698"/>
    <w:rsid w:val="00AF6F34"/>
    <w:rsid w:val="00B0495B"/>
    <w:rsid w:val="00B04967"/>
    <w:rsid w:val="00B050EF"/>
    <w:rsid w:val="00B069E9"/>
    <w:rsid w:val="00B10D6A"/>
    <w:rsid w:val="00B129FB"/>
    <w:rsid w:val="00B12F93"/>
    <w:rsid w:val="00B132FE"/>
    <w:rsid w:val="00B148C3"/>
    <w:rsid w:val="00B1512D"/>
    <w:rsid w:val="00B22E8E"/>
    <w:rsid w:val="00B23E4E"/>
    <w:rsid w:val="00B2691A"/>
    <w:rsid w:val="00B3054A"/>
    <w:rsid w:val="00B30AFF"/>
    <w:rsid w:val="00B32DCB"/>
    <w:rsid w:val="00B34C71"/>
    <w:rsid w:val="00B363B1"/>
    <w:rsid w:val="00B36DDC"/>
    <w:rsid w:val="00B4085E"/>
    <w:rsid w:val="00B41EA6"/>
    <w:rsid w:val="00B423EB"/>
    <w:rsid w:val="00B45C0C"/>
    <w:rsid w:val="00B50239"/>
    <w:rsid w:val="00B54DFD"/>
    <w:rsid w:val="00B55362"/>
    <w:rsid w:val="00B5638D"/>
    <w:rsid w:val="00B568CC"/>
    <w:rsid w:val="00B57280"/>
    <w:rsid w:val="00B61FF6"/>
    <w:rsid w:val="00B63582"/>
    <w:rsid w:val="00B725FF"/>
    <w:rsid w:val="00B729A5"/>
    <w:rsid w:val="00B73016"/>
    <w:rsid w:val="00B739B4"/>
    <w:rsid w:val="00B74282"/>
    <w:rsid w:val="00B77CA7"/>
    <w:rsid w:val="00B82263"/>
    <w:rsid w:val="00B837DF"/>
    <w:rsid w:val="00B85937"/>
    <w:rsid w:val="00B85A42"/>
    <w:rsid w:val="00B90796"/>
    <w:rsid w:val="00B91FFF"/>
    <w:rsid w:val="00B92F16"/>
    <w:rsid w:val="00B95208"/>
    <w:rsid w:val="00B9551E"/>
    <w:rsid w:val="00B970E0"/>
    <w:rsid w:val="00B9763A"/>
    <w:rsid w:val="00BA1476"/>
    <w:rsid w:val="00BA2FBD"/>
    <w:rsid w:val="00BA5AB6"/>
    <w:rsid w:val="00BA5D61"/>
    <w:rsid w:val="00BA6E72"/>
    <w:rsid w:val="00BB08FF"/>
    <w:rsid w:val="00BB3A59"/>
    <w:rsid w:val="00BB5509"/>
    <w:rsid w:val="00BB5AE0"/>
    <w:rsid w:val="00BB7829"/>
    <w:rsid w:val="00BC1920"/>
    <w:rsid w:val="00BC261E"/>
    <w:rsid w:val="00BC2A78"/>
    <w:rsid w:val="00BC31B2"/>
    <w:rsid w:val="00BC3D4A"/>
    <w:rsid w:val="00BC6CF3"/>
    <w:rsid w:val="00BC6D24"/>
    <w:rsid w:val="00BD1A47"/>
    <w:rsid w:val="00BD333F"/>
    <w:rsid w:val="00BD3D76"/>
    <w:rsid w:val="00BD40A7"/>
    <w:rsid w:val="00BD4F48"/>
    <w:rsid w:val="00BD6B93"/>
    <w:rsid w:val="00BE0045"/>
    <w:rsid w:val="00BE15AE"/>
    <w:rsid w:val="00BE1784"/>
    <w:rsid w:val="00BE3F57"/>
    <w:rsid w:val="00BE5AEC"/>
    <w:rsid w:val="00BE795E"/>
    <w:rsid w:val="00BF16D7"/>
    <w:rsid w:val="00BF4B30"/>
    <w:rsid w:val="00BF638F"/>
    <w:rsid w:val="00C015B3"/>
    <w:rsid w:val="00C0286A"/>
    <w:rsid w:val="00C065D0"/>
    <w:rsid w:val="00C06D12"/>
    <w:rsid w:val="00C15383"/>
    <w:rsid w:val="00C16EB8"/>
    <w:rsid w:val="00C205BA"/>
    <w:rsid w:val="00C20756"/>
    <w:rsid w:val="00C20998"/>
    <w:rsid w:val="00C21C85"/>
    <w:rsid w:val="00C24963"/>
    <w:rsid w:val="00C264D5"/>
    <w:rsid w:val="00C26B1F"/>
    <w:rsid w:val="00C26D5A"/>
    <w:rsid w:val="00C31055"/>
    <w:rsid w:val="00C33107"/>
    <w:rsid w:val="00C33991"/>
    <w:rsid w:val="00C34C87"/>
    <w:rsid w:val="00C36F80"/>
    <w:rsid w:val="00C370EA"/>
    <w:rsid w:val="00C37A1C"/>
    <w:rsid w:val="00C42A20"/>
    <w:rsid w:val="00C452E0"/>
    <w:rsid w:val="00C4753D"/>
    <w:rsid w:val="00C543B5"/>
    <w:rsid w:val="00C63257"/>
    <w:rsid w:val="00C64065"/>
    <w:rsid w:val="00C6590F"/>
    <w:rsid w:val="00C664FE"/>
    <w:rsid w:val="00C667AB"/>
    <w:rsid w:val="00C66EC2"/>
    <w:rsid w:val="00C67790"/>
    <w:rsid w:val="00C702DF"/>
    <w:rsid w:val="00C70425"/>
    <w:rsid w:val="00C708AB"/>
    <w:rsid w:val="00C71766"/>
    <w:rsid w:val="00C86EA9"/>
    <w:rsid w:val="00C9061E"/>
    <w:rsid w:val="00C9148B"/>
    <w:rsid w:val="00C922A2"/>
    <w:rsid w:val="00C9319D"/>
    <w:rsid w:val="00C9333D"/>
    <w:rsid w:val="00C94301"/>
    <w:rsid w:val="00C946E0"/>
    <w:rsid w:val="00C94887"/>
    <w:rsid w:val="00C97956"/>
    <w:rsid w:val="00CA2271"/>
    <w:rsid w:val="00CA3144"/>
    <w:rsid w:val="00CA3648"/>
    <w:rsid w:val="00CA6601"/>
    <w:rsid w:val="00CB04D3"/>
    <w:rsid w:val="00CB177E"/>
    <w:rsid w:val="00CB3851"/>
    <w:rsid w:val="00CB4002"/>
    <w:rsid w:val="00CB5994"/>
    <w:rsid w:val="00CB78CD"/>
    <w:rsid w:val="00CC45E4"/>
    <w:rsid w:val="00CC58E3"/>
    <w:rsid w:val="00CD12B6"/>
    <w:rsid w:val="00CD22F6"/>
    <w:rsid w:val="00CD23BC"/>
    <w:rsid w:val="00CD3CE1"/>
    <w:rsid w:val="00CD555F"/>
    <w:rsid w:val="00CD59B7"/>
    <w:rsid w:val="00CD78B6"/>
    <w:rsid w:val="00CE0346"/>
    <w:rsid w:val="00CE07B1"/>
    <w:rsid w:val="00CE79F3"/>
    <w:rsid w:val="00CE7F1F"/>
    <w:rsid w:val="00CF092B"/>
    <w:rsid w:val="00CF0A36"/>
    <w:rsid w:val="00CF0D12"/>
    <w:rsid w:val="00CF41C6"/>
    <w:rsid w:val="00CF45F2"/>
    <w:rsid w:val="00CF4805"/>
    <w:rsid w:val="00CF6600"/>
    <w:rsid w:val="00CF7951"/>
    <w:rsid w:val="00D012DC"/>
    <w:rsid w:val="00D01F4E"/>
    <w:rsid w:val="00D01F9A"/>
    <w:rsid w:val="00D0254C"/>
    <w:rsid w:val="00D031AE"/>
    <w:rsid w:val="00D0335C"/>
    <w:rsid w:val="00D048EF"/>
    <w:rsid w:val="00D056DB"/>
    <w:rsid w:val="00D058FF"/>
    <w:rsid w:val="00D07EAD"/>
    <w:rsid w:val="00D10EFF"/>
    <w:rsid w:val="00D15041"/>
    <w:rsid w:val="00D15934"/>
    <w:rsid w:val="00D20E6F"/>
    <w:rsid w:val="00D2390F"/>
    <w:rsid w:val="00D32310"/>
    <w:rsid w:val="00D32752"/>
    <w:rsid w:val="00D36AFB"/>
    <w:rsid w:val="00D4034F"/>
    <w:rsid w:val="00D4134D"/>
    <w:rsid w:val="00D42C80"/>
    <w:rsid w:val="00D436F1"/>
    <w:rsid w:val="00D43F8B"/>
    <w:rsid w:val="00D44E63"/>
    <w:rsid w:val="00D4612C"/>
    <w:rsid w:val="00D46249"/>
    <w:rsid w:val="00D53C8E"/>
    <w:rsid w:val="00D57C29"/>
    <w:rsid w:val="00D61717"/>
    <w:rsid w:val="00D62020"/>
    <w:rsid w:val="00D66189"/>
    <w:rsid w:val="00D67486"/>
    <w:rsid w:val="00D73543"/>
    <w:rsid w:val="00D7629D"/>
    <w:rsid w:val="00D775E4"/>
    <w:rsid w:val="00D77EA3"/>
    <w:rsid w:val="00D805FD"/>
    <w:rsid w:val="00D843C3"/>
    <w:rsid w:val="00D84972"/>
    <w:rsid w:val="00D909AA"/>
    <w:rsid w:val="00D929D9"/>
    <w:rsid w:val="00D9314A"/>
    <w:rsid w:val="00D94248"/>
    <w:rsid w:val="00D94455"/>
    <w:rsid w:val="00D95691"/>
    <w:rsid w:val="00DA03EB"/>
    <w:rsid w:val="00DA3014"/>
    <w:rsid w:val="00DA3704"/>
    <w:rsid w:val="00DB0866"/>
    <w:rsid w:val="00DB3DE4"/>
    <w:rsid w:val="00DB4660"/>
    <w:rsid w:val="00DB7912"/>
    <w:rsid w:val="00DC25A9"/>
    <w:rsid w:val="00DC4259"/>
    <w:rsid w:val="00DC60FD"/>
    <w:rsid w:val="00DC77B7"/>
    <w:rsid w:val="00DD1751"/>
    <w:rsid w:val="00DD206E"/>
    <w:rsid w:val="00DD3A56"/>
    <w:rsid w:val="00DD5C22"/>
    <w:rsid w:val="00DD70B0"/>
    <w:rsid w:val="00DD7AE3"/>
    <w:rsid w:val="00DE083D"/>
    <w:rsid w:val="00DE1840"/>
    <w:rsid w:val="00DE1A24"/>
    <w:rsid w:val="00DE2200"/>
    <w:rsid w:val="00DE2A19"/>
    <w:rsid w:val="00DF068E"/>
    <w:rsid w:val="00DF0901"/>
    <w:rsid w:val="00DF5FDA"/>
    <w:rsid w:val="00DF7197"/>
    <w:rsid w:val="00E055F5"/>
    <w:rsid w:val="00E05807"/>
    <w:rsid w:val="00E05CF5"/>
    <w:rsid w:val="00E06B39"/>
    <w:rsid w:val="00E06FB6"/>
    <w:rsid w:val="00E12000"/>
    <w:rsid w:val="00E122F3"/>
    <w:rsid w:val="00E1331D"/>
    <w:rsid w:val="00E13AD8"/>
    <w:rsid w:val="00E1562E"/>
    <w:rsid w:val="00E16EB8"/>
    <w:rsid w:val="00E17532"/>
    <w:rsid w:val="00E2109C"/>
    <w:rsid w:val="00E22583"/>
    <w:rsid w:val="00E25F5C"/>
    <w:rsid w:val="00E275B1"/>
    <w:rsid w:val="00E32111"/>
    <w:rsid w:val="00E332C3"/>
    <w:rsid w:val="00E368B0"/>
    <w:rsid w:val="00E41874"/>
    <w:rsid w:val="00E4205E"/>
    <w:rsid w:val="00E426FE"/>
    <w:rsid w:val="00E45880"/>
    <w:rsid w:val="00E501F4"/>
    <w:rsid w:val="00E52759"/>
    <w:rsid w:val="00E61B09"/>
    <w:rsid w:val="00E62FDF"/>
    <w:rsid w:val="00E72FA5"/>
    <w:rsid w:val="00E80C38"/>
    <w:rsid w:val="00E8160A"/>
    <w:rsid w:val="00E81A69"/>
    <w:rsid w:val="00E831D0"/>
    <w:rsid w:val="00E8434C"/>
    <w:rsid w:val="00E84FD8"/>
    <w:rsid w:val="00E8633A"/>
    <w:rsid w:val="00E864B2"/>
    <w:rsid w:val="00E86E64"/>
    <w:rsid w:val="00E90AC6"/>
    <w:rsid w:val="00E91F9E"/>
    <w:rsid w:val="00E93409"/>
    <w:rsid w:val="00E9392A"/>
    <w:rsid w:val="00E97299"/>
    <w:rsid w:val="00E97497"/>
    <w:rsid w:val="00EA05BF"/>
    <w:rsid w:val="00EA2EA0"/>
    <w:rsid w:val="00EA38D6"/>
    <w:rsid w:val="00EA52BE"/>
    <w:rsid w:val="00EA7593"/>
    <w:rsid w:val="00EB22D7"/>
    <w:rsid w:val="00EB3D7A"/>
    <w:rsid w:val="00EB45C9"/>
    <w:rsid w:val="00EB7678"/>
    <w:rsid w:val="00EC1306"/>
    <w:rsid w:val="00EC2D55"/>
    <w:rsid w:val="00EC3386"/>
    <w:rsid w:val="00EC6066"/>
    <w:rsid w:val="00ED1389"/>
    <w:rsid w:val="00ED1E71"/>
    <w:rsid w:val="00ED20A8"/>
    <w:rsid w:val="00ED4D17"/>
    <w:rsid w:val="00ED5CBA"/>
    <w:rsid w:val="00ED6732"/>
    <w:rsid w:val="00ED7D03"/>
    <w:rsid w:val="00EE18F3"/>
    <w:rsid w:val="00EE285E"/>
    <w:rsid w:val="00EE362B"/>
    <w:rsid w:val="00EE40F9"/>
    <w:rsid w:val="00EE59A7"/>
    <w:rsid w:val="00EE5E85"/>
    <w:rsid w:val="00EE6695"/>
    <w:rsid w:val="00EE6F6F"/>
    <w:rsid w:val="00EE7DDC"/>
    <w:rsid w:val="00EF05AA"/>
    <w:rsid w:val="00EF41EB"/>
    <w:rsid w:val="00EF47EB"/>
    <w:rsid w:val="00EF56F8"/>
    <w:rsid w:val="00EF5BCD"/>
    <w:rsid w:val="00EF60B5"/>
    <w:rsid w:val="00EF7908"/>
    <w:rsid w:val="00F02AD1"/>
    <w:rsid w:val="00F05C34"/>
    <w:rsid w:val="00F06935"/>
    <w:rsid w:val="00F0742A"/>
    <w:rsid w:val="00F105C7"/>
    <w:rsid w:val="00F11C15"/>
    <w:rsid w:val="00F12A77"/>
    <w:rsid w:val="00F13534"/>
    <w:rsid w:val="00F16565"/>
    <w:rsid w:val="00F17166"/>
    <w:rsid w:val="00F17B9C"/>
    <w:rsid w:val="00F21AA9"/>
    <w:rsid w:val="00F232AC"/>
    <w:rsid w:val="00F23A21"/>
    <w:rsid w:val="00F23ECE"/>
    <w:rsid w:val="00F23F11"/>
    <w:rsid w:val="00F3002E"/>
    <w:rsid w:val="00F327BC"/>
    <w:rsid w:val="00F34AD0"/>
    <w:rsid w:val="00F35844"/>
    <w:rsid w:val="00F36100"/>
    <w:rsid w:val="00F37582"/>
    <w:rsid w:val="00F4115E"/>
    <w:rsid w:val="00F4208F"/>
    <w:rsid w:val="00F47887"/>
    <w:rsid w:val="00F50783"/>
    <w:rsid w:val="00F516BA"/>
    <w:rsid w:val="00F52672"/>
    <w:rsid w:val="00F56965"/>
    <w:rsid w:val="00F6060A"/>
    <w:rsid w:val="00F649D8"/>
    <w:rsid w:val="00F656EC"/>
    <w:rsid w:val="00F66274"/>
    <w:rsid w:val="00F7011A"/>
    <w:rsid w:val="00F70E9F"/>
    <w:rsid w:val="00F734BA"/>
    <w:rsid w:val="00F7396F"/>
    <w:rsid w:val="00F73B14"/>
    <w:rsid w:val="00F74899"/>
    <w:rsid w:val="00F752AB"/>
    <w:rsid w:val="00F755EB"/>
    <w:rsid w:val="00F766AA"/>
    <w:rsid w:val="00F76B2F"/>
    <w:rsid w:val="00F77EF8"/>
    <w:rsid w:val="00F8453B"/>
    <w:rsid w:val="00F856AA"/>
    <w:rsid w:val="00F856DC"/>
    <w:rsid w:val="00F859D4"/>
    <w:rsid w:val="00F85E76"/>
    <w:rsid w:val="00F86CFA"/>
    <w:rsid w:val="00F86FBB"/>
    <w:rsid w:val="00F87C3A"/>
    <w:rsid w:val="00F92B1F"/>
    <w:rsid w:val="00F94552"/>
    <w:rsid w:val="00F9531B"/>
    <w:rsid w:val="00FA0A08"/>
    <w:rsid w:val="00FA3DD5"/>
    <w:rsid w:val="00FA4630"/>
    <w:rsid w:val="00FA79C0"/>
    <w:rsid w:val="00FB5066"/>
    <w:rsid w:val="00FB6B5E"/>
    <w:rsid w:val="00FC12C5"/>
    <w:rsid w:val="00FC3F3E"/>
    <w:rsid w:val="00FC492B"/>
    <w:rsid w:val="00FC4BA6"/>
    <w:rsid w:val="00FC5DE2"/>
    <w:rsid w:val="00FC6D29"/>
    <w:rsid w:val="00FD0711"/>
    <w:rsid w:val="00FD13CC"/>
    <w:rsid w:val="00FD156A"/>
    <w:rsid w:val="00FD2459"/>
    <w:rsid w:val="00FD2F1F"/>
    <w:rsid w:val="00FD3F81"/>
    <w:rsid w:val="00FD4F57"/>
    <w:rsid w:val="00FD50E8"/>
    <w:rsid w:val="00FD540D"/>
    <w:rsid w:val="00FD5E34"/>
    <w:rsid w:val="00FE2697"/>
    <w:rsid w:val="00FE34B4"/>
    <w:rsid w:val="00FE4C8E"/>
    <w:rsid w:val="00FE5129"/>
    <w:rsid w:val="00FE642A"/>
    <w:rsid w:val="00FF139A"/>
    <w:rsid w:val="00FF2660"/>
    <w:rsid w:val="00FF28AE"/>
    <w:rsid w:val="00FF2D83"/>
    <w:rsid w:val="00FF4855"/>
    <w:rsid w:val="00FF4909"/>
    <w:rsid w:val="00FF518C"/>
    <w:rsid w:val="00FF61BF"/>
    <w:rsid w:val="00FF64B8"/>
    <w:rsid w:val="00FF699F"/>
    <w:rsid w:val="00FF6EF2"/>
    <w:rsid w:val="010D38E6"/>
    <w:rsid w:val="013F7A9A"/>
    <w:rsid w:val="0158764E"/>
    <w:rsid w:val="017D5380"/>
    <w:rsid w:val="01945DD5"/>
    <w:rsid w:val="01985E8E"/>
    <w:rsid w:val="02335DA9"/>
    <w:rsid w:val="02C70C81"/>
    <w:rsid w:val="02D57047"/>
    <w:rsid w:val="032356B1"/>
    <w:rsid w:val="03533E92"/>
    <w:rsid w:val="03816D4F"/>
    <w:rsid w:val="03D00084"/>
    <w:rsid w:val="03D01C5F"/>
    <w:rsid w:val="0450645B"/>
    <w:rsid w:val="04906F0D"/>
    <w:rsid w:val="04C422D8"/>
    <w:rsid w:val="04D919C8"/>
    <w:rsid w:val="05021777"/>
    <w:rsid w:val="052D13F0"/>
    <w:rsid w:val="05446292"/>
    <w:rsid w:val="056952A3"/>
    <w:rsid w:val="05B821F2"/>
    <w:rsid w:val="063B04AC"/>
    <w:rsid w:val="06863DD7"/>
    <w:rsid w:val="06B30223"/>
    <w:rsid w:val="06B37970"/>
    <w:rsid w:val="06BB7496"/>
    <w:rsid w:val="06E15158"/>
    <w:rsid w:val="06FB3C55"/>
    <w:rsid w:val="0703310E"/>
    <w:rsid w:val="073024F2"/>
    <w:rsid w:val="07550BF3"/>
    <w:rsid w:val="077F3D5C"/>
    <w:rsid w:val="07933A4D"/>
    <w:rsid w:val="07C14408"/>
    <w:rsid w:val="07CD0160"/>
    <w:rsid w:val="07D91B14"/>
    <w:rsid w:val="080D66CF"/>
    <w:rsid w:val="08211367"/>
    <w:rsid w:val="08847377"/>
    <w:rsid w:val="09120356"/>
    <w:rsid w:val="096B2603"/>
    <w:rsid w:val="09A135D7"/>
    <w:rsid w:val="09C33484"/>
    <w:rsid w:val="0A1538B9"/>
    <w:rsid w:val="0A183FC2"/>
    <w:rsid w:val="0A7D1508"/>
    <w:rsid w:val="0B6D7EE1"/>
    <w:rsid w:val="0B882B40"/>
    <w:rsid w:val="0B9A0FEB"/>
    <w:rsid w:val="0C360518"/>
    <w:rsid w:val="0C5B79EA"/>
    <w:rsid w:val="0C932F6D"/>
    <w:rsid w:val="0C973A34"/>
    <w:rsid w:val="0CAD3D6D"/>
    <w:rsid w:val="0D291176"/>
    <w:rsid w:val="0D2A3B44"/>
    <w:rsid w:val="0D830F15"/>
    <w:rsid w:val="0DC43808"/>
    <w:rsid w:val="0DDB0848"/>
    <w:rsid w:val="0E04548E"/>
    <w:rsid w:val="0E19600D"/>
    <w:rsid w:val="0E232311"/>
    <w:rsid w:val="0E363474"/>
    <w:rsid w:val="0E516AD5"/>
    <w:rsid w:val="0E5A6B98"/>
    <w:rsid w:val="0E7F1356"/>
    <w:rsid w:val="0EF32C8D"/>
    <w:rsid w:val="0F6B7229"/>
    <w:rsid w:val="104963C3"/>
    <w:rsid w:val="106C1F3C"/>
    <w:rsid w:val="108246FA"/>
    <w:rsid w:val="10AB3149"/>
    <w:rsid w:val="10B81DA0"/>
    <w:rsid w:val="11044578"/>
    <w:rsid w:val="1114228A"/>
    <w:rsid w:val="111B4023"/>
    <w:rsid w:val="11567B8B"/>
    <w:rsid w:val="11844114"/>
    <w:rsid w:val="118947D1"/>
    <w:rsid w:val="11BB6684"/>
    <w:rsid w:val="11CA1BF4"/>
    <w:rsid w:val="11D413A7"/>
    <w:rsid w:val="11F71F75"/>
    <w:rsid w:val="12716043"/>
    <w:rsid w:val="127D5893"/>
    <w:rsid w:val="127D5B21"/>
    <w:rsid w:val="129C0FBA"/>
    <w:rsid w:val="12A93FF4"/>
    <w:rsid w:val="12C91B31"/>
    <w:rsid w:val="13025E25"/>
    <w:rsid w:val="131C764A"/>
    <w:rsid w:val="13657A76"/>
    <w:rsid w:val="13973806"/>
    <w:rsid w:val="13AE7D5A"/>
    <w:rsid w:val="13D05FF2"/>
    <w:rsid w:val="13D401ED"/>
    <w:rsid w:val="13FA497D"/>
    <w:rsid w:val="143915A5"/>
    <w:rsid w:val="146A010D"/>
    <w:rsid w:val="14707D33"/>
    <w:rsid w:val="1491614A"/>
    <w:rsid w:val="14CA39A9"/>
    <w:rsid w:val="15260E5C"/>
    <w:rsid w:val="154B5F34"/>
    <w:rsid w:val="157E4085"/>
    <w:rsid w:val="159C7F73"/>
    <w:rsid w:val="15B27E25"/>
    <w:rsid w:val="15C80049"/>
    <w:rsid w:val="15CD44D1"/>
    <w:rsid w:val="161A7E53"/>
    <w:rsid w:val="164E735F"/>
    <w:rsid w:val="16820D02"/>
    <w:rsid w:val="168D7E8D"/>
    <w:rsid w:val="169063CD"/>
    <w:rsid w:val="16AC5F4D"/>
    <w:rsid w:val="16B92181"/>
    <w:rsid w:val="16E75190"/>
    <w:rsid w:val="174C3ADC"/>
    <w:rsid w:val="176F5D34"/>
    <w:rsid w:val="179B7C2C"/>
    <w:rsid w:val="181C3EAE"/>
    <w:rsid w:val="18784ABF"/>
    <w:rsid w:val="1899715F"/>
    <w:rsid w:val="18B36606"/>
    <w:rsid w:val="19000B10"/>
    <w:rsid w:val="19131D2F"/>
    <w:rsid w:val="19162CB4"/>
    <w:rsid w:val="191B29BF"/>
    <w:rsid w:val="191C43C4"/>
    <w:rsid w:val="195B1F21"/>
    <w:rsid w:val="197005D4"/>
    <w:rsid w:val="19844BDA"/>
    <w:rsid w:val="19851ED0"/>
    <w:rsid w:val="1A5B334B"/>
    <w:rsid w:val="1A74698A"/>
    <w:rsid w:val="1A7B4C91"/>
    <w:rsid w:val="1A7E748E"/>
    <w:rsid w:val="1A9E74C5"/>
    <w:rsid w:val="1A9E7F79"/>
    <w:rsid w:val="1AC474F7"/>
    <w:rsid w:val="1B4E4B62"/>
    <w:rsid w:val="1B9A46A6"/>
    <w:rsid w:val="1BBC037E"/>
    <w:rsid w:val="1BCB44A6"/>
    <w:rsid w:val="1BDC4741"/>
    <w:rsid w:val="1BEB756D"/>
    <w:rsid w:val="1C1D6B0D"/>
    <w:rsid w:val="1C31271A"/>
    <w:rsid w:val="1C353ED6"/>
    <w:rsid w:val="1C4F55A8"/>
    <w:rsid w:val="1C7A04B1"/>
    <w:rsid w:val="1C803EFD"/>
    <w:rsid w:val="1CE32D75"/>
    <w:rsid w:val="1D1C722C"/>
    <w:rsid w:val="1D211DF4"/>
    <w:rsid w:val="1D46055D"/>
    <w:rsid w:val="1D817A26"/>
    <w:rsid w:val="1DB73C0D"/>
    <w:rsid w:val="1DC22561"/>
    <w:rsid w:val="1DD63007"/>
    <w:rsid w:val="1DE12218"/>
    <w:rsid w:val="1E1064AA"/>
    <w:rsid w:val="1E4C270A"/>
    <w:rsid w:val="1E6A0ABE"/>
    <w:rsid w:val="1E6E31AD"/>
    <w:rsid w:val="1E9624B3"/>
    <w:rsid w:val="1EE70491"/>
    <w:rsid w:val="1EF86B31"/>
    <w:rsid w:val="1F0B7DCE"/>
    <w:rsid w:val="1F453019"/>
    <w:rsid w:val="1F603B25"/>
    <w:rsid w:val="1F7F1CCB"/>
    <w:rsid w:val="1FB76E47"/>
    <w:rsid w:val="1FEC076E"/>
    <w:rsid w:val="200A5ED9"/>
    <w:rsid w:val="20124116"/>
    <w:rsid w:val="20982E05"/>
    <w:rsid w:val="20FB092C"/>
    <w:rsid w:val="21982616"/>
    <w:rsid w:val="21A6185F"/>
    <w:rsid w:val="21CC5612"/>
    <w:rsid w:val="2204012F"/>
    <w:rsid w:val="22264B96"/>
    <w:rsid w:val="223504AD"/>
    <w:rsid w:val="22A82FE4"/>
    <w:rsid w:val="23102595"/>
    <w:rsid w:val="23184AEF"/>
    <w:rsid w:val="23195423"/>
    <w:rsid w:val="23301B09"/>
    <w:rsid w:val="236E3877"/>
    <w:rsid w:val="23C06D0D"/>
    <w:rsid w:val="23E13BDC"/>
    <w:rsid w:val="23E16895"/>
    <w:rsid w:val="23F97572"/>
    <w:rsid w:val="240A712B"/>
    <w:rsid w:val="24221F33"/>
    <w:rsid w:val="24501F99"/>
    <w:rsid w:val="24647A3B"/>
    <w:rsid w:val="2469135F"/>
    <w:rsid w:val="253D7551"/>
    <w:rsid w:val="25B23882"/>
    <w:rsid w:val="25DA20CE"/>
    <w:rsid w:val="2611396D"/>
    <w:rsid w:val="264847F5"/>
    <w:rsid w:val="264C0DCE"/>
    <w:rsid w:val="26A548B3"/>
    <w:rsid w:val="26C45F7A"/>
    <w:rsid w:val="26CB23E7"/>
    <w:rsid w:val="27321E87"/>
    <w:rsid w:val="27A41677"/>
    <w:rsid w:val="27D363A4"/>
    <w:rsid w:val="27EA448C"/>
    <w:rsid w:val="2814462C"/>
    <w:rsid w:val="28835907"/>
    <w:rsid w:val="2895041E"/>
    <w:rsid w:val="28C75AC3"/>
    <w:rsid w:val="28CF0113"/>
    <w:rsid w:val="28E264E9"/>
    <w:rsid w:val="28F519C1"/>
    <w:rsid w:val="290D1266"/>
    <w:rsid w:val="29932BD9"/>
    <w:rsid w:val="29AA1797"/>
    <w:rsid w:val="29B303FC"/>
    <w:rsid w:val="29C71C98"/>
    <w:rsid w:val="29E412C9"/>
    <w:rsid w:val="29EC293B"/>
    <w:rsid w:val="2A652B1C"/>
    <w:rsid w:val="2A74621B"/>
    <w:rsid w:val="2A8E4FDF"/>
    <w:rsid w:val="2A9E073C"/>
    <w:rsid w:val="2ABB3548"/>
    <w:rsid w:val="2AEB2937"/>
    <w:rsid w:val="2AF24590"/>
    <w:rsid w:val="2B5214A0"/>
    <w:rsid w:val="2B893853"/>
    <w:rsid w:val="2BD36A44"/>
    <w:rsid w:val="2BEC169E"/>
    <w:rsid w:val="2C425814"/>
    <w:rsid w:val="2C6B2249"/>
    <w:rsid w:val="2C883D66"/>
    <w:rsid w:val="2CAB1E2C"/>
    <w:rsid w:val="2CBC37A2"/>
    <w:rsid w:val="2CFA4BF4"/>
    <w:rsid w:val="2D4C56A4"/>
    <w:rsid w:val="2D804281"/>
    <w:rsid w:val="2D9609D1"/>
    <w:rsid w:val="2DD724C3"/>
    <w:rsid w:val="2DE36EAD"/>
    <w:rsid w:val="2DFD2703"/>
    <w:rsid w:val="2E1809FE"/>
    <w:rsid w:val="2E576295"/>
    <w:rsid w:val="2E6D09CF"/>
    <w:rsid w:val="2FAA136A"/>
    <w:rsid w:val="2FDA3BD8"/>
    <w:rsid w:val="30590639"/>
    <w:rsid w:val="306E4D19"/>
    <w:rsid w:val="30772748"/>
    <w:rsid w:val="30C21006"/>
    <w:rsid w:val="30C35B6B"/>
    <w:rsid w:val="30DC6B70"/>
    <w:rsid w:val="319A0D87"/>
    <w:rsid w:val="31B9326C"/>
    <w:rsid w:val="31C636D4"/>
    <w:rsid w:val="31F80989"/>
    <w:rsid w:val="32020F1E"/>
    <w:rsid w:val="322A278A"/>
    <w:rsid w:val="32323595"/>
    <w:rsid w:val="327563EC"/>
    <w:rsid w:val="328D46F6"/>
    <w:rsid w:val="32E64D8F"/>
    <w:rsid w:val="32FA1831"/>
    <w:rsid w:val="33141557"/>
    <w:rsid w:val="33472B63"/>
    <w:rsid w:val="33727742"/>
    <w:rsid w:val="33962FC8"/>
    <w:rsid w:val="33B02259"/>
    <w:rsid w:val="33B94062"/>
    <w:rsid w:val="33F31A49"/>
    <w:rsid w:val="34004F6F"/>
    <w:rsid w:val="34823C8F"/>
    <w:rsid w:val="349430FD"/>
    <w:rsid w:val="352B08FE"/>
    <w:rsid w:val="35711E9E"/>
    <w:rsid w:val="36066E6C"/>
    <w:rsid w:val="363A1903"/>
    <w:rsid w:val="363E12F1"/>
    <w:rsid w:val="36535FEF"/>
    <w:rsid w:val="36593D46"/>
    <w:rsid w:val="368075B3"/>
    <w:rsid w:val="368C66F3"/>
    <w:rsid w:val="36BD3D96"/>
    <w:rsid w:val="36EC791B"/>
    <w:rsid w:val="36F6333B"/>
    <w:rsid w:val="36FF1BDC"/>
    <w:rsid w:val="371C17F1"/>
    <w:rsid w:val="375216C5"/>
    <w:rsid w:val="37557B1F"/>
    <w:rsid w:val="37955C98"/>
    <w:rsid w:val="379A6637"/>
    <w:rsid w:val="379D4623"/>
    <w:rsid w:val="382B4D7E"/>
    <w:rsid w:val="38365BE8"/>
    <w:rsid w:val="384920EB"/>
    <w:rsid w:val="38661D1D"/>
    <w:rsid w:val="387415AD"/>
    <w:rsid w:val="38C5487B"/>
    <w:rsid w:val="3917265F"/>
    <w:rsid w:val="394C55DD"/>
    <w:rsid w:val="3997163C"/>
    <w:rsid w:val="39CF2763"/>
    <w:rsid w:val="39F63CA8"/>
    <w:rsid w:val="3A107240"/>
    <w:rsid w:val="3A316F85"/>
    <w:rsid w:val="3A6F00EE"/>
    <w:rsid w:val="3AA31842"/>
    <w:rsid w:val="3AD85951"/>
    <w:rsid w:val="3AE85A27"/>
    <w:rsid w:val="3B5D159B"/>
    <w:rsid w:val="3BCC6D26"/>
    <w:rsid w:val="3BDB4DC2"/>
    <w:rsid w:val="3BF9203D"/>
    <w:rsid w:val="3C3E3922"/>
    <w:rsid w:val="3C5C7F5E"/>
    <w:rsid w:val="3C713E33"/>
    <w:rsid w:val="3C7C0496"/>
    <w:rsid w:val="3CA1526D"/>
    <w:rsid w:val="3CA4480B"/>
    <w:rsid w:val="3CC73AC6"/>
    <w:rsid w:val="3CCC58AF"/>
    <w:rsid w:val="3D102D01"/>
    <w:rsid w:val="3D652A0D"/>
    <w:rsid w:val="3DEF0B31"/>
    <w:rsid w:val="3E446709"/>
    <w:rsid w:val="3E5D0786"/>
    <w:rsid w:val="3EA708AB"/>
    <w:rsid w:val="3EE13BFD"/>
    <w:rsid w:val="3F1C67F4"/>
    <w:rsid w:val="3FCD6D54"/>
    <w:rsid w:val="406D4392"/>
    <w:rsid w:val="40880B2D"/>
    <w:rsid w:val="409003E3"/>
    <w:rsid w:val="409F4BE5"/>
    <w:rsid w:val="40AF42C0"/>
    <w:rsid w:val="40D432EC"/>
    <w:rsid w:val="41005800"/>
    <w:rsid w:val="410C0F9F"/>
    <w:rsid w:val="412C31CF"/>
    <w:rsid w:val="417B39F7"/>
    <w:rsid w:val="41965B49"/>
    <w:rsid w:val="41A15980"/>
    <w:rsid w:val="41B5743A"/>
    <w:rsid w:val="41EF3B8C"/>
    <w:rsid w:val="424D420E"/>
    <w:rsid w:val="428D35AE"/>
    <w:rsid w:val="42967A78"/>
    <w:rsid w:val="436C3A21"/>
    <w:rsid w:val="4382005A"/>
    <w:rsid w:val="43892CEE"/>
    <w:rsid w:val="43AA1518"/>
    <w:rsid w:val="43AD4105"/>
    <w:rsid w:val="43BE12DF"/>
    <w:rsid w:val="43CE04D4"/>
    <w:rsid w:val="43D24AC3"/>
    <w:rsid w:val="43EE4803"/>
    <w:rsid w:val="44092635"/>
    <w:rsid w:val="441433AE"/>
    <w:rsid w:val="44165302"/>
    <w:rsid w:val="44715F3C"/>
    <w:rsid w:val="44804274"/>
    <w:rsid w:val="44A6752F"/>
    <w:rsid w:val="44C70602"/>
    <w:rsid w:val="4519728B"/>
    <w:rsid w:val="453623F3"/>
    <w:rsid w:val="454B23C1"/>
    <w:rsid w:val="45637F29"/>
    <w:rsid w:val="45693030"/>
    <w:rsid w:val="45773CB0"/>
    <w:rsid w:val="45EB5667"/>
    <w:rsid w:val="46164679"/>
    <w:rsid w:val="46202CC2"/>
    <w:rsid w:val="46210857"/>
    <w:rsid w:val="4635295E"/>
    <w:rsid w:val="463D62B8"/>
    <w:rsid w:val="464157DD"/>
    <w:rsid w:val="4653681F"/>
    <w:rsid w:val="468B50CB"/>
    <w:rsid w:val="46C7740C"/>
    <w:rsid w:val="46CF127F"/>
    <w:rsid w:val="46F552B2"/>
    <w:rsid w:val="470637DF"/>
    <w:rsid w:val="475E4D63"/>
    <w:rsid w:val="477F3100"/>
    <w:rsid w:val="47811372"/>
    <w:rsid w:val="47A92D2E"/>
    <w:rsid w:val="4857302F"/>
    <w:rsid w:val="486F627C"/>
    <w:rsid w:val="48A71300"/>
    <w:rsid w:val="48E644E1"/>
    <w:rsid w:val="492910C9"/>
    <w:rsid w:val="494016FB"/>
    <w:rsid w:val="4971160B"/>
    <w:rsid w:val="499B19DE"/>
    <w:rsid w:val="49B5495C"/>
    <w:rsid w:val="49C53F5F"/>
    <w:rsid w:val="4A046A90"/>
    <w:rsid w:val="4A1E0691"/>
    <w:rsid w:val="4A1F61C6"/>
    <w:rsid w:val="4A471E8F"/>
    <w:rsid w:val="4AAD3591"/>
    <w:rsid w:val="4B1E3CA1"/>
    <w:rsid w:val="4B233AA9"/>
    <w:rsid w:val="4B3606D3"/>
    <w:rsid w:val="4B423CFD"/>
    <w:rsid w:val="4B55092A"/>
    <w:rsid w:val="4B603035"/>
    <w:rsid w:val="4B94092F"/>
    <w:rsid w:val="4BF472B7"/>
    <w:rsid w:val="4C0457A8"/>
    <w:rsid w:val="4C874EEC"/>
    <w:rsid w:val="4CF72CFE"/>
    <w:rsid w:val="4CF93840"/>
    <w:rsid w:val="4D5D46C2"/>
    <w:rsid w:val="4D8330BA"/>
    <w:rsid w:val="4D8856C9"/>
    <w:rsid w:val="4DA64C43"/>
    <w:rsid w:val="4DFB61FC"/>
    <w:rsid w:val="4DFF4F2A"/>
    <w:rsid w:val="4E175B2C"/>
    <w:rsid w:val="4E4C0CA8"/>
    <w:rsid w:val="4E56180A"/>
    <w:rsid w:val="4E6C1598"/>
    <w:rsid w:val="4EA827DD"/>
    <w:rsid w:val="4EDF23C0"/>
    <w:rsid w:val="4F1916F3"/>
    <w:rsid w:val="4F2367AD"/>
    <w:rsid w:val="4F4F76D6"/>
    <w:rsid w:val="4F80187B"/>
    <w:rsid w:val="50013709"/>
    <w:rsid w:val="500D49DD"/>
    <w:rsid w:val="501A56C4"/>
    <w:rsid w:val="503714A5"/>
    <w:rsid w:val="50532554"/>
    <w:rsid w:val="507339C8"/>
    <w:rsid w:val="50B04C9F"/>
    <w:rsid w:val="50FA6B69"/>
    <w:rsid w:val="511C4B20"/>
    <w:rsid w:val="518461AC"/>
    <w:rsid w:val="51BB2F98"/>
    <w:rsid w:val="51EA6E52"/>
    <w:rsid w:val="51FF7316"/>
    <w:rsid w:val="520C134B"/>
    <w:rsid w:val="521F3476"/>
    <w:rsid w:val="525A69D7"/>
    <w:rsid w:val="527506CC"/>
    <w:rsid w:val="52C319D8"/>
    <w:rsid w:val="53286949"/>
    <w:rsid w:val="53533399"/>
    <w:rsid w:val="536A7BE8"/>
    <w:rsid w:val="536D1678"/>
    <w:rsid w:val="537700E9"/>
    <w:rsid w:val="53A60CCB"/>
    <w:rsid w:val="53AC613D"/>
    <w:rsid w:val="53B377D3"/>
    <w:rsid w:val="53EE7ECE"/>
    <w:rsid w:val="53FA4A2F"/>
    <w:rsid w:val="543A0B0C"/>
    <w:rsid w:val="5453201B"/>
    <w:rsid w:val="54B96BDA"/>
    <w:rsid w:val="5537097D"/>
    <w:rsid w:val="55524673"/>
    <w:rsid w:val="55712323"/>
    <w:rsid w:val="558E2274"/>
    <w:rsid w:val="55AF4DF5"/>
    <w:rsid w:val="55B671FC"/>
    <w:rsid w:val="55D178F6"/>
    <w:rsid w:val="55EE1D7B"/>
    <w:rsid w:val="56036DBA"/>
    <w:rsid w:val="565F34C2"/>
    <w:rsid w:val="56C31EE8"/>
    <w:rsid w:val="56CD70B2"/>
    <w:rsid w:val="56FF6B56"/>
    <w:rsid w:val="570A2E1E"/>
    <w:rsid w:val="57130446"/>
    <w:rsid w:val="57170602"/>
    <w:rsid w:val="57530744"/>
    <w:rsid w:val="57A323AC"/>
    <w:rsid w:val="57DC10DA"/>
    <w:rsid w:val="57F731DF"/>
    <w:rsid w:val="58236399"/>
    <w:rsid w:val="583875AF"/>
    <w:rsid w:val="58593D6D"/>
    <w:rsid w:val="58705C2C"/>
    <w:rsid w:val="58C918AD"/>
    <w:rsid w:val="590E5061"/>
    <w:rsid w:val="593B326B"/>
    <w:rsid w:val="594A2B8C"/>
    <w:rsid w:val="595001F3"/>
    <w:rsid w:val="59565320"/>
    <w:rsid w:val="598422AA"/>
    <w:rsid w:val="59BE6EEC"/>
    <w:rsid w:val="59D75CC5"/>
    <w:rsid w:val="5A022734"/>
    <w:rsid w:val="5A134409"/>
    <w:rsid w:val="5A135EA7"/>
    <w:rsid w:val="5A405304"/>
    <w:rsid w:val="5A804E07"/>
    <w:rsid w:val="5A890EA6"/>
    <w:rsid w:val="5AC35BD0"/>
    <w:rsid w:val="5AD91F9A"/>
    <w:rsid w:val="5B0B635B"/>
    <w:rsid w:val="5B230079"/>
    <w:rsid w:val="5B5B3870"/>
    <w:rsid w:val="5BD576E8"/>
    <w:rsid w:val="5BF25BDA"/>
    <w:rsid w:val="5CF24C0B"/>
    <w:rsid w:val="5D0D1F8B"/>
    <w:rsid w:val="5D475BDB"/>
    <w:rsid w:val="5D5C0649"/>
    <w:rsid w:val="5D7E1EB5"/>
    <w:rsid w:val="5DFD5A88"/>
    <w:rsid w:val="5E143C2C"/>
    <w:rsid w:val="5E2823DF"/>
    <w:rsid w:val="5E3C172A"/>
    <w:rsid w:val="5E552253"/>
    <w:rsid w:val="5E6C431C"/>
    <w:rsid w:val="5F7B450A"/>
    <w:rsid w:val="5F7E4A71"/>
    <w:rsid w:val="5F9B50B7"/>
    <w:rsid w:val="5FA03267"/>
    <w:rsid w:val="5FAC2590"/>
    <w:rsid w:val="5FC415FF"/>
    <w:rsid w:val="5FE9172E"/>
    <w:rsid w:val="60347C3A"/>
    <w:rsid w:val="609E69DD"/>
    <w:rsid w:val="60BD01BD"/>
    <w:rsid w:val="60D24371"/>
    <w:rsid w:val="60D64F73"/>
    <w:rsid w:val="61060321"/>
    <w:rsid w:val="611F2BCE"/>
    <w:rsid w:val="61301FA4"/>
    <w:rsid w:val="616F2410"/>
    <w:rsid w:val="61A63E02"/>
    <w:rsid w:val="61DB1B0F"/>
    <w:rsid w:val="61F21F72"/>
    <w:rsid w:val="620302E4"/>
    <w:rsid w:val="625A1526"/>
    <w:rsid w:val="627961AD"/>
    <w:rsid w:val="62A27CF3"/>
    <w:rsid w:val="62D56558"/>
    <w:rsid w:val="63286566"/>
    <w:rsid w:val="63332126"/>
    <w:rsid w:val="633A597E"/>
    <w:rsid w:val="638A5ECB"/>
    <w:rsid w:val="63E23270"/>
    <w:rsid w:val="6439629A"/>
    <w:rsid w:val="646002BB"/>
    <w:rsid w:val="64805D21"/>
    <w:rsid w:val="64B44602"/>
    <w:rsid w:val="653350D2"/>
    <w:rsid w:val="653D491D"/>
    <w:rsid w:val="655B6846"/>
    <w:rsid w:val="65A315A9"/>
    <w:rsid w:val="65A42ED0"/>
    <w:rsid w:val="65B60BEC"/>
    <w:rsid w:val="65E92340"/>
    <w:rsid w:val="6600391A"/>
    <w:rsid w:val="660973AD"/>
    <w:rsid w:val="66553A33"/>
    <w:rsid w:val="665D0100"/>
    <w:rsid w:val="66FA0D90"/>
    <w:rsid w:val="67061509"/>
    <w:rsid w:val="672E6E03"/>
    <w:rsid w:val="6736402C"/>
    <w:rsid w:val="67562897"/>
    <w:rsid w:val="67B4474D"/>
    <w:rsid w:val="67F7397F"/>
    <w:rsid w:val="684B6190"/>
    <w:rsid w:val="68524B50"/>
    <w:rsid w:val="68713E79"/>
    <w:rsid w:val="688600A8"/>
    <w:rsid w:val="68896CC6"/>
    <w:rsid w:val="68DF0CC6"/>
    <w:rsid w:val="690832A7"/>
    <w:rsid w:val="69473047"/>
    <w:rsid w:val="698D239B"/>
    <w:rsid w:val="69A22CD4"/>
    <w:rsid w:val="69A433E0"/>
    <w:rsid w:val="69D74EB4"/>
    <w:rsid w:val="69FE5BEB"/>
    <w:rsid w:val="6A353F8A"/>
    <w:rsid w:val="6A3A124D"/>
    <w:rsid w:val="6A8870C0"/>
    <w:rsid w:val="6B0F3B01"/>
    <w:rsid w:val="6B3833CB"/>
    <w:rsid w:val="6B3B6CBC"/>
    <w:rsid w:val="6B6E012E"/>
    <w:rsid w:val="6B8054DF"/>
    <w:rsid w:val="6B900695"/>
    <w:rsid w:val="6B9F08C6"/>
    <w:rsid w:val="6BB47C73"/>
    <w:rsid w:val="6BB54B75"/>
    <w:rsid w:val="6C00195D"/>
    <w:rsid w:val="6C030EA5"/>
    <w:rsid w:val="6C1C0F80"/>
    <w:rsid w:val="6C301452"/>
    <w:rsid w:val="6C753198"/>
    <w:rsid w:val="6C852F24"/>
    <w:rsid w:val="6CFE1D48"/>
    <w:rsid w:val="6D296D7F"/>
    <w:rsid w:val="6D321033"/>
    <w:rsid w:val="6D4B57B9"/>
    <w:rsid w:val="6D4D5CE5"/>
    <w:rsid w:val="6E2F6C18"/>
    <w:rsid w:val="6E3E434F"/>
    <w:rsid w:val="6EA0700B"/>
    <w:rsid w:val="6EB36CA2"/>
    <w:rsid w:val="6EC67A3B"/>
    <w:rsid w:val="6ED53B08"/>
    <w:rsid w:val="6ED6448C"/>
    <w:rsid w:val="6F37064F"/>
    <w:rsid w:val="6F5E6ABE"/>
    <w:rsid w:val="6FBE5816"/>
    <w:rsid w:val="6FE93AAB"/>
    <w:rsid w:val="6FFC6B6E"/>
    <w:rsid w:val="704D5450"/>
    <w:rsid w:val="705F6DB6"/>
    <w:rsid w:val="70742C7D"/>
    <w:rsid w:val="70A313BB"/>
    <w:rsid w:val="70C5625B"/>
    <w:rsid w:val="70C62DF2"/>
    <w:rsid w:val="70F80044"/>
    <w:rsid w:val="715648CB"/>
    <w:rsid w:val="71732CDA"/>
    <w:rsid w:val="719F230A"/>
    <w:rsid w:val="71B07C13"/>
    <w:rsid w:val="71EC668C"/>
    <w:rsid w:val="721B3030"/>
    <w:rsid w:val="727F7A08"/>
    <w:rsid w:val="72BA0F3C"/>
    <w:rsid w:val="72F57190"/>
    <w:rsid w:val="732646F4"/>
    <w:rsid w:val="73360F5D"/>
    <w:rsid w:val="73841CCA"/>
    <w:rsid w:val="7388529A"/>
    <w:rsid w:val="73A24D67"/>
    <w:rsid w:val="73A66A49"/>
    <w:rsid w:val="73B971C4"/>
    <w:rsid w:val="73C86959"/>
    <w:rsid w:val="73E91653"/>
    <w:rsid w:val="74941523"/>
    <w:rsid w:val="74F83D6F"/>
    <w:rsid w:val="754B297D"/>
    <w:rsid w:val="75BD49CB"/>
    <w:rsid w:val="75CD28CF"/>
    <w:rsid w:val="76170535"/>
    <w:rsid w:val="764067EB"/>
    <w:rsid w:val="76512F7A"/>
    <w:rsid w:val="76557E73"/>
    <w:rsid w:val="766D5F57"/>
    <w:rsid w:val="767C55CD"/>
    <w:rsid w:val="76CD0F57"/>
    <w:rsid w:val="770664D6"/>
    <w:rsid w:val="771D310D"/>
    <w:rsid w:val="77247C84"/>
    <w:rsid w:val="773272DC"/>
    <w:rsid w:val="77CA1A97"/>
    <w:rsid w:val="78160487"/>
    <w:rsid w:val="783F6DAD"/>
    <w:rsid w:val="785C0F59"/>
    <w:rsid w:val="787D2E86"/>
    <w:rsid w:val="78B7622C"/>
    <w:rsid w:val="78CC3056"/>
    <w:rsid w:val="78DB7356"/>
    <w:rsid w:val="79291653"/>
    <w:rsid w:val="792B6F60"/>
    <w:rsid w:val="79D165E9"/>
    <w:rsid w:val="79EB20F0"/>
    <w:rsid w:val="7A2638E1"/>
    <w:rsid w:val="7A28397D"/>
    <w:rsid w:val="7A9F13A5"/>
    <w:rsid w:val="7AAA6425"/>
    <w:rsid w:val="7ABA4DB2"/>
    <w:rsid w:val="7ABE6361"/>
    <w:rsid w:val="7B494CA8"/>
    <w:rsid w:val="7B664481"/>
    <w:rsid w:val="7B9810FC"/>
    <w:rsid w:val="7BDD49DB"/>
    <w:rsid w:val="7BE95667"/>
    <w:rsid w:val="7C010F6E"/>
    <w:rsid w:val="7C045CD9"/>
    <w:rsid w:val="7C451B23"/>
    <w:rsid w:val="7C4E123A"/>
    <w:rsid w:val="7C744CA0"/>
    <w:rsid w:val="7CB9090A"/>
    <w:rsid w:val="7D361128"/>
    <w:rsid w:val="7D99693E"/>
    <w:rsid w:val="7DDA2898"/>
    <w:rsid w:val="7E4B094B"/>
    <w:rsid w:val="7E5008C1"/>
    <w:rsid w:val="7E886628"/>
    <w:rsid w:val="7E8B5ADD"/>
    <w:rsid w:val="7E936BB7"/>
    <w:rsid w:val="7EF0631F"/>
    <w:rsid w:val="7F1403AC"/>
    <w:rsid w:val="7F19412A"/>
    <w:rsid w:val="7F2967DF"/>
    <w:rsid w:val="7F3219A1"/>
    <w:rsid w:val="7F627820"/>
    <w:rsid w:val="7FE14DB9"/>
    <w:rsid w:val="7FF23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99"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uiPriority="0" w:name="HTML Typewriter"/>
    <w:lsdException w:qFormat="1" w:uiPriority="0" w:semiHidden="0" w:name="HTML Variable"/>
    <w:lsdException w:qFormat="1"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7"/>
    <w:qFormat/>
    <w:uiPriority w:val="9"/>
    <w:pPr>
      <w:keepNext/>
      <w:keepLines/>
      <w:spacing w:before="340" w:after="330" w:line="578" w:lineRule="auto"/>
      <w:outlineLvl w:val="0"/>
    </w:pPr>
    <w:rPr>
      <w:rFonts w:ascii="Times New Roman" w:hAnsi="Times New Roman" w:cs="Times New Roman"/>
      <w:b/>
      <w:bCs/>
      <w:kern w:val="44"/>
      <w:sz w:val="44"/>
      <w:szCs w:val="44"/>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3">
    <w:name w:val="caption"/>
    <w:basedOn w:val="1"/>
    <w:next w:val="1"/>
    <w:link w:val="34"/>
    <w:qFormat/>
    <w:uiPriority w:val="35"/>
    <w:rPr>
      <w:rFonts w:ascii="Calibri Light" w:hAnsi="Calibri Light" w:eastAsia="黑体" w:cs="Times New Roman"/>
      <w:sz w:val="20"/>
      <w:szCs w:val="20"/>
    </w:rPr>
  </w:style>
  <w:style w:type="paragraph" w:styleId="4">
    <w:name w:val="Document Map"/>
    <w:basedOn w:val="1"/>
    <w:link w:val="52"/>
    <w:unhideWhenUsed/>
    <w:qFormat/>
    <w:uiPriority w:val="0"/>
    <w:rPr>
      <w:rFonts w:ascii="宋体"/>
      <w:sz w:val="18"/>
      <w:szCs w:val="18"/>
    </w:rPr>
  </w:style>
  <w:style w:type="paragraph" w:styleId="5">
    <w:name w:val="annotation text"/>
    <w:basedOn w:val="1"/>
    <w:link w:val="36"/>
    <w:unhideWhenUsed/>
    <w:qFormat/>
    <w:uiPriority w:val="99"/>
    <w:pPr>
      <w:jc w:val="left"/>
    </w:pPr>
  </w:style>
  <w:style w:type="paragraph" w:styleId="6">
    <w:name w:val="Body Text"/>
    <w:basedOn w:val="1"/>
    <w:unhideWhenUsed/>
    <w:qFormat/>
    <w:uiPriority w:val="0"/>
    <w:pPr>
      <w:widowControl w:val="0"/>
      <w:spacing w:before="100" w:beforeLines="0" w:beforeAutospacing="1" w:after="100" w:afterLines="0" w:afterAutospacing="1" w:line="480" w:lineRule="auto"/>
    </w:pPr>
    <w:rPr>
      <w:rFonts w:ascii="宋体" w:hAnsi="宋体" w:eastAsia="宋体"/>
      <w:color w:val="000000"/>
      <w:sz w:val="24"/>
      <w:szCs w:val="24"/>
      <w:lang w:val="en-US" w:eastAsia="zh-CN" w:bidi="ar-SA"/>
    </w:rPr>
  </w:style>
  <w:style w:type="paragraph" w:styleId="7">
    <w:name w:val="toc 3"/>
    <w:basedOn w:val="1"/>
    <w:next w:val="1"/>
    <w:unhideWhenUsed/>
    <w:qFormat/>
    <w:uiPriority w:val="39"/>
    <w:pPr>
      <w:ind w:left="840" w:leftChars="400"/>
    </w:pPr>
  </w:style>
  <w:style w:type="paragraph" w:styleId="8">
    <w:name w:val="Balloon Text"/>
    <w:basedOn w:val="1"/>
    <w:link w:val="41"/>
    <w:unhideWhenUsed/>
    <w:qFormat/>
    <w:uiPriority w:val="99"/>
    <w:rPr>
      <w:rFonts w:ascii="Times New Roman" w:hAnsi="Times New Roman" w:cs="Times New Roman"/>
      <w:kern w:val="0"/>
      <w:sz w:val="18"/>
      <w:szCs w:val="18"/>
    </w:rPr>
  </w:style>
  <w:style w:type="paragraph" w:styleId="9">
    <w:name w:val="footer"/>
    <w:basedOn w:val="1"/>
    <w:link w:val="39"/>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0">
    <w:name w:val="header"/>
    <w:basedOn w:val="1"/>
    <w:link w:val="38"/>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1">
    <w:name w:val="toc 1"/>
    <w:basedOn w:val="1"/>
    <w:next w:val="1"/>
    <w:unhideWhenUsed/>
    <w:qFormat/>
    <w:uiPriority w:val="39"/>
  </w:style>
  <w:style w:type="paragraph" w:styleId="12">
    <w:name w:val="footnote text"/>
    <w:basedOn w:val="1"/>
    <w:link w:val="46"/>
    <w:qFormat/>
    <w:uiPriority w:val="0"/>
    <w:pPr>
      <w:snapToGrid w:val="0"/>
      <w:jc w:val="left"/>
    </w:pPr>
    <w:rPr>
      <w:rFonts w:ascii="Times New Roman" w:hAnsi="Times New Roman" w:cs="Times New Roman"/>
      <w:kern w:val="0"/>
      <w:sz w:val="18"/>
      <w:szCs w:val="18"/>
    </w:rPr>
  </w:style>
  <w:style w:type="paragraph" w:styleId="13">
    <w:name w:val="toc 2"/>
    <w:basedOn w:val="1"/>
    <w:next w:val="1"/>
    <w:unhideWhenUsed/>
    <w:qFormat/>
    <w:uiPriority w:val="39"/>
    <w:pPr>
      <w:ind w:left="420" w:leftChars="200"/>
    </w:pPr>
  </w:style>
  <w:style w:type="paragraph" w:styleId="14">
    <w:name w:val="annotation subject"/>
    <w:basedOn w:val="5"/>
    <w:next w:val="5"/>
    <w:link w:val="47"/>
    <w:unhideWhenUsed/>
    <w:qFormat/>
    <w:uiPriority w:val="99"/>
    <w:rPr>
      <w:rFonts w:ascii="Times New Roman" w:hAnsi="Times New Roman" w:cs="Times New Roman"/>
      <w:b/>
      <w:bCs/>
      <w:kern w:val="0"/>
      <w:sz w:val="20"/>
      <w:szCs w:val="20"/>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22"/>
    <w:rPr>
      <w:b/>
    </w:rPr>
  </w:style>
  <w:style w:type="character" w:styleId="19">
    <w:name w:val="page number"/>
    <w:basedOn w:val="17"/>
    <w:unhideWhenUsed/>
    <w:qFormat/>
    <w:uiPriority w:val="0"/>
  </w:style>
  <w:style w:type="character" w:styleId="20">
    <w:name w:val="FollowedHyperlink"/>
    <w:basedOn w:val="17"/>
    <w:unhideWhenUsed/>
    <w:qFormat/>
    <w:uiPriority w:val="0"/>
    <w:rPr>
      <w:color w:val="338DE6"/>
      <w:u w:val="none"/>
    </w:rPr>
  </w:style>
  <w:style w:type="character" w:styleId="21">
    <w:name w:val="Emphasis"/>
    <w:basedOn w:val="17"/>
    <w:qFormat/>
    <w:uiPriority w:val="20"/>
  </w:style>
  <w:style w:type="character" w:styleId="22">
    <w:name w:val="HTML Definition"/>
    <w:basedOn w:val="17"/>
    <w:unhideWhenUsed/>
    <w:qFormat/>
    <w:uiPriority w:val="0"/>
  </w:style>
  <w:style w:type="character" w:styleId="23">
    <w:name w:val="HTML Variable"/>
    <w:basedOn w:val="17"/>
    <w:unhideWhenUsed/>
    <w:qFormat/>
    <w:uiPriority w:val="0"/>
  </w:style>
  <w:style w:type="character" w:styleId="24">
    <w:name w:val="Hyperlink"/>
    <w:basedOn w:val="17"/>
    <w:unhideWhenUsed/>
    <w:qFormat/>
    <w:uiPriority w:val="99"/>
    <w:rPr>
      <w:color w:val="0563C1"/>
      <w:u w:val="single"/>
    </w:rPr>
  </w:style>
  <w:style w:type="character" w:styleId="25">
    <w:name w:val="HTML Code"/>
    <w:basedOn w:val="17"/>
    <w:unhideWhenUsed/>
    <w:qFormat/>
    <w:uiPriority w:val="0"/>
    <w:rPr>
      <w:rFonts w:hint="default" w:ascii="monospace" w:hAnsi="monospace" w:eastAsia="monospace" w:cs="monospace"/>
      <w:sz w:val="21"/>
      <w:szCs w:val="21"/>
    </w:rPr>
  </w:style>
  <w:style w:type="character" w:styleId="26">
    <w:name w:val="annotation reference"/>
    <w:unhideWhenUsed/>
    <w:qFormat/>
    <w:uiPriority w:val="99"/>
    <w:rPr>
      <w:sz w:val="21"/>
      <w:szCs w:val="21"/>
    </w:rPr>
  </w:style>
  <w:style w:type="character" w:styleId="27">
    <w:name w:val="HTML Cite"/>
    <w:basedOn w:val="17"/>
    <w:unhideWhenUsed/>
    <w:qFormat/>
    <w:uiPriority w:val="0"/>
  </w:style>
  <w:style w:type="character" w:styleId="28">
    <w:name w:val="footnote reference"/>
    <w:qFormat/>
    <w:uiPriority w:val="0"/>
    <w:rPr>
      <w:vertAlign w:val="superscript"/>
    </w:rPr>
  </w:style>
  <w:style w:type="character" w:styleId="29">
    <w:name w:val="HTML Keyboard"/>
    <w:basedOn w:val="17"/>
    <w:unhideWhenUsed/>
    <w:qFormat/>
    <w:uiPriority w:val="0"/>
    <w:rPr>
      <w:rFonts w:ascii="monospace" w:hAnsi="monospace" w:eastAsia="monospace" w:cs="monospace"/>
      <w:sz w:val="21"/>
      <w:szCs w:val="21"/>
    </w:rPr>
  </w:style>
  <w:style w:type="character" w:styleId="30">
    <w:name w:val="HTML Sample"/>
    <w:basedOn w:val="17"/>
    <w:unhideWhenUsed/>
    <w:qFormat/>
    <w:uiPriority w:val="0"/>
    <w:rPr>
      <w:rFonts w:hint="default" w:ascii="monospace" w:hAnsi="monospace" w:eastAsia="monospace" w:cs="monospace"/>
      <w:sz w:val="21"/>
      <w:szCs w:val="21"/>
    </w:rPr>
  </w:style>
  <w:style w:type="character" w:customStyle="1" w:styleId="31">
    <w:name w:val="font51"/>
    <w:qFormat/>
    <w:uiPriority w:val="0"/>
    <w:rPr>
      <w:rFonts w:hint="eastAsia" w:ascii="宋体" w:hAnsi="宋体" w:eastAsia="宋体" w:cs="宋体"/>
      <w:b/>
      <w:color w:val="000000"/>
      <w:sz w:val="21"/>
      <w:szCs w:val="21"/>
      <w:u w:val="none"/>
    </w:rPr>
  </w:style>
  <w:style w:type="character" w:customStyle="1" w:styleId="32">
    <w:name w:val="段 Char"/>
    <w:link w:val="33"/>
    <w:qFormat/>
    <w:uiPriority w:val="0"/>
    <w:rPr>
      <w:rFonts w:ascii="宋体"/>
      <w:sz w:val="21"/>
      <w:lang w:val="en-US" w:eastAsia="zh-CN" w:bidi="ar-SA"/>
    </w:rPr>
  </w:style>
  <w:style w:type="paragraph" w:customStyle="1" w:styleId="33">
    <w:name w:val="段"/>
    <w:link w:val="32"/>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4">
    <w:name w:val="题注 Char"/>
    <w:link w:val="3"/>
    <w:qFormat/>
    <w:uiPriority w:val="35"/>
    <w:rPr>
      <w:rFonts w:ascii="Calibri Light" w:hAnsi="Calibri Light" w:eastAsia="黑体" w:cs="黑体"/>
      <w:kern w:val="2"/>
    </w:rPr>
  </w:style>
  <w:style w:type="character" w:customStyle="1" w:styleId="35">
    <w:name w:val="font31"/>
    <w:qFormat/>
    <w:uiPriority w:val="0"/>
    <w:rPr>
      <w:rFonts w:hint="default" w:ascii="Times New Roman" w:hAnsi="Times New Roman" w:cs="Times New Roman"/>
      <w:b/>
      <w:color w:val="000000"/>
      <w:sz w:val="22"/>
      <w:szCs w:val="22"/>
      <w:u w:val="none"/>
    </w:rPr>
  </w:style>
  <w:style w:type="character" w:customStyle="1" w:styleId="36">
    <w:name w:val="批注文字 Char"/>
    <w:basedOn w:val="17"/>
    <w:link w:val="5"/>
    <w:semiHidden/>
    <w:qFormat/>
    <w:uiPriority w:val="99"/>
  </w:style>
  <w:style w:type="character" w:customStyle="1" w:styleId="37">
    <w:name w:val="标题 1 Char"/>
    <w:link w:val="2"/>
    <w:qFormat/>
    <w:uiPriority w:val="9"/>
    <w:rPr>
      <w:b/>
      <w:bCs/>
      <w:kern w:val="44"/>
      <w:sz w:val="44"/>
      <w:szCs w:val="44"/>
    </w:rPr>
  </w:style>
  <w:style w:type="character" w:customStyle="1" w:styleId="38">
    <w:name w:val="页眉 Char"/>
    <w:link w:val="10"/>
    <w:qFormat/>
    <w:uiPriority w:val="99"/>
    <w:rPr>
      <w:sz w:val="18"/>
      <w:szCs w:val="18"/>
    </w:rPr>
  </w:style>
  <w:style w:type="character" w:customStyle="1" w:styleId="39">
    <w:name w:val="页脚 Char"/>
    <w:link w:val="9"/>
    <w:qFormat/>
    <w:uiPriority w:val="99"/>
    <w:rPr>
      <w:sz w:val="18"/>
      <w:szCs w:val="18"/>
    </w:rPr>
  </w:style>
  <w:style w:type="character" w:customStyle="1" w:styleId="40">
    <w:name w:val="font11"/>
    <w:qFormat/>
    <w:uiPriority w:val="0"/>
    <w:rPr>
      <w:rFonts w:hint="default" w:ascii="Times New Roman" w:hAnsi="Times New Roman" w:cs="Times New Roman"/>
      <w:b/>
      <w:color w:val="000000"/>
      <w:sz w:val="18"/>
      <w:szCs w:val="18"/>
      <w:u w:val="none"/>
    </w:rPr>
  </w:style>
  <w:style w:type="character" w:customStyle="1" w:styleId="41">
    <w:name w:val="批注框文本 Char"/>
    <w:link w:val="8"/>
    <w:semiHidden/>
    <w:qFormat/>
    <w:uiPriority w:val="99"/>
    <w:rPr>
      <w:sz w:val="18"/>
      <w:szCs w:val="18"/>
    </w:rPr>
  </w:style>
  <w:style w:type="character" w:customStyle="1" w:styleId="42">
    <w:name w:val="font21"/>
    <w:qFormat/>
    <w:uiPriority w:val="0"/>
    <w:rPr>
      <w:rFonts w:hint="default" w:ascii="Times New Roman" w:hAnsi="Times New Roman" w:cs="Times New Roman"/>
      <w:b/>
      <w:color w:val="000000"/>
      <w:sz w:val="22"/>
      <w:szCs w:val="22"/>
      <w:u w:val="none"/>
    </w:rPr>
  </w:style>
  <w:style w:type="character" w:customStyle="1" w:styleId="43">
    <w:name w:val="一级标题 Char"/>
    <w:link w:val="44"/>
    <w:qFormat/>
    <w:uiPriority w:val="0"/>
    <w:rPr>
      <w:rFonts w:ascii="黑体" w:eastAsia="黑体"/>
      <w:b/>
      <w:kern w:val="2"/>
      <w:sz w:val="30"/>
      <w:szCs w:val="30"/>
      <w:lang w:val="en-US" w:eastAsia="zh-CN" w:bidi="ar-SA"/>
    </w:rPr>
  </w:style>
  <w:style w:type="paragraph" w:customStyle="1" w:styleId="44">
    <w:name w:val="一级标题"/>
    <w:link w:val="43"/>
    <w:qFormat/>
    <w:uiPriority w:val="0"/>
    <w:pPr>
      <w:outlineLvl w:val="0"/>
    </w:pPr>
    <w:rPr>
      <w:rFonts w:ascii="黑体" w:hAnsi="Times New Roman" w:eastAsia="黑体" w:cs="Times New Roman"/>
      <w:b/>
      <w:kern w:val="2"/>
      <w:sz w:val="30"/>
      <w:szCs w:val="30"/>
      <w:lang w:val="en-US" w:eastAsia="zh-CN" w:bidi="ar-SA"/>
    </w:rPr>
  </w:style>
  <w:style w:type="character" w:customStyle="1" w:styleId="45">
    <w:name w:val="font01"/>
    <w:qFormat/>
    <w:uiPriority w:val="0"/>
    <w:rPr>
      <w:rFonts w:hint="eastAsia" w:ascii="宋体" w:hAnsi="宋体" w:eastAsia="宋体" w:cs="宋体"/>
      <w:b/>
      <w:color w:val="000000"/>
      <w:sz w:val="22"/>
      <w:szCs w:val="22"/>
      <w:u w:val="none"/>
    </w:rPr>
  </w:style>
  <w:style w:type="character" w:customStyle="1" w:styleId="46">
    <w:name w:val="脚注文本 Char"/>
    <w:link w:val="12"/>
    <w:qFormat/>
    <w:uiPriority w:val="0"/>
    <w:rPr>
      <w:rFonts w:ascii="Times New Roman" w:hAnsi="Times New Roman" w:eastAsia="宋体" w:cs="Times New Roman"/>
      <w:sz w:val="18"/>
      <w:szCs w:val="18"/>
    </w:rPr>
  </w:style>
  <w:style w:type="character" w:customStyle="1" w:styleId="47">
    <w:name w:val="批注主题 Char"/>
    <w:link w:val="14"/>
    <w:semiHidden/>
    <w:qFormat/>
    <w:uiPriority w:val="99"/>
    <w:rPr>
      <w:b/>
      <w:bCs/>
    </w:rPr>
  </w:style>
  <w:style w:type="character" w:customStyle="1" w:styleId="48">
    <w:name w:val="正文新 Char"/>
    <w:link w:val="49"/>
    <w:qFormat/>
    <w:uiPriority w:val="0"/>
    <w:rPr>
      <w:rFonts w:ascii="仿宋_GB2312" w:eastAsia="仿宋_GB2312"/>
      <w:kern w:val="2"/>
      <w:sz w:val="28"/>
      <w:szCs w:val="28"/>
      <w:lang w:val="en-US" w:eastAsia="zh-CN" w:bidi="ar-SA"/>
    </w:rPr>
  </w:style>
  <w:style w:type="paragraph" w:customStyle="1" w:styleId="49">
    <w:name w:val="正文新"/>
    <w:link w:val="48"/>
    <w:qFormat/>
    <w:uiPriority w:val="0"/>
    <w:pPr>
      <w:ind w:firstLine="200" w:firstLineChars="200"/>
      <w:contextualSpacing/>
      <w:jc w:val="both"/>
    </w:pPr>
    <w:rPr>
      <w:rFonts w:ascii="仿宋_GB2312" w:hAnsi="Times New Roman" w:eastAsia="仿宋_GB2312" w:cs="Times New Roman"/>
      <w:kern w:val="2"/>
      <w:sz w:val="28"/>
      <w:szCs w:val="28"/>
      <w:lang w:val="en-US" w:eastAsia="zh-CN" w:bidi="ar-SA"/>
    </w:rPr>
  </w:style>
  <w:style w:type="character" w:customStyle="1" w:styleId="50">
    <w:name w:val="font41"/>
    <w:qFormat/>
    <w:uiPriority w:val="0"/>
    <w:rPr>
      <w:rFonts w:hint="default" w:ascii="Times New Roman" w:hAnsi="Times New Roman" w:cs="Times New Roman"/>
      <w:b/>
      <w:color w:val="000000"/>
      <w:sz w:val="22"/>
      <w:szCs w:val="22"/>
      <w:u w:val="none"/>
    </w:rPr>
  </w:style>
  <w:style w:type="paragraph" w:customStyle="1" w:styleId="51">
    <w:name w:val="TOC 标题1"/>
    <w:basedOn w:val="2"/>
    <w:next w:val="1"/>
    <w:unhideWhenUsed/>
    <w:qFormat/>
    <w:uiPriority w:val="39"/>
    <w:pPr>
      <w:widowControl/>
      <w:spacing w:before="480" w:after="0" w:line="276" w:lineRule="auto"/>
      <w:jc w:val="left"/>
      <w:outlineLvl w:val="9"/>
    </w:pPr>
    <w:rPr>
      <w:rFonts w:ascii="Calibri Light" w:hAnsi="Calibri Light"/>
      <w:color w:val="2D73B3"/>
      <w:kern w:val="0"/>
      <w:sz w:val="28"/>
      <w:szCs w:val="28"/>
    </w:rPr>
  </w:style>
  <w:style w:type="character" w:customStyle="1" w:styleId="52">
    <w:name w:val="文档结构图 Char"/>
    <w:basedOn w:val="17"/>
    <w:link w:val="4"/>
    <w:semiHidden/>
    <w:qFormat/>
    <w:uiPriority w:val="0"/>
    <w:rPr>
      <w:rFonts w:ascii="宋体" w:hAnsi="Calibri" w:cs="黑体"/>
      <w:kern w:val="2"/>
      <w:sz w:val="18"/>
      <w:szCs w:val="18"/>
    </w:rPr>
  </w:style>
  <w:style w:type="paragraph" w:customStyle="1" w:styleId="53">
    <w:name w:val="表格中文字"/>
    <w:qFormat/>
    <w:uiPriority w:val="0"/>
    <w:pPr>
      <w:jc w:val="center"/>
    </w:pPr>
    <w:rPr>
      <w:rFonts w:ascii="Times New Roman" w:hAnsi="Times New Roman" w:eastAsia="宋体" w:cs="Times New Roman"/>
      <w:kern w:val="2"/>
      <w:sz w:val="18"/>
      <w:szCs w:val="28"/>
      <w:lang w:val="en-US" w:eastAsia="zh-CN" w:bidi="ar-SA"/>
    </w:rPr>
  </w:style>
  <w:style w:type="character" w:customStyle="1" w:styleId="54">
    <w:name w:val="fontstrikethrough"/>
    <w:basedOn w:val="17"/>
    <w:qFormat/>
    <w:uiPriority w:val="0"/>
    <w:rPr>
      <w:strike/>
    </w:rPr>
  </w:style>
  <w:style w:type="character" w:customStyle="1" w:styleId="55">
    <w:name w:val="fontborder"/>
    <w:basedOn w:val="17"/>
    <w:qFormat/>
    <w:uiPriority w:val="0"/>
    <w:rPr>
      <w:bdr w:val="single" w:color="000000" w:sz="6" w:space="0"/>
    </w:rPr>
  </w:style>
  <w:style w:type="paragraph" w:customStyle="1" w:styleId="56">
    <w:name w:val="正文文本 + 宋体"/>
    <w:basedOn w:val="6"/>
    <w:qFormat/>
    <w:uiPriority w:val="0"/>
    <w:pPr>
      <w:adjustRightInd w:val="0"/>
      <w:snapToGrid w:val="0"/>
      <w:spacing w:before="0" w:beforeLines="0" w:beforeAutospacing="0" w:after="120" w:afterLines="0" w:afterAutospacing="0"/>
      <w:jc w:val="both"/>
    </w:pPr>
    <w:rPr>
      <w:b/>
      <w:color w:val="auto"/>
      <w:kern w:val="2"/>
      <w:sz w:val="52"/>
      <w:szCs w:val="52"/>
    </w:rPr>
  </w:style>
  <w:style w:type="paragraph" w:customStyle="1" w:styleId="57">
    <w:name w:val="_Style 2"/>
    <w:basedOn w:val="2"/>
    <w:next w:val="1"/>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AEDFC9-8B6D-4459-80BF-CF1653F7513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10380</Words>
  <Characters>11015</Characters>
  <Lines>103</Lines>
  <Paragraphs>29</Paragraphs>
  <TotalTime>1</TotalTime>
  <ScaleCrop>false</ScaleCrop>
  <LinksUpToDate>false</LinksUpToDate>
  <CharactersWithSpaces>11261</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2011-06-18T02:53:00Z</dcterms:created>
  <dc:creator>wxy</dc:creator>
  <cp:lastModifiedBy>小鱼</cp:lastModifiedBy>
  <cp:lastPrinted>2015-08-27T02:12:00Z</cp:lastPrinted>
  <dcterms:modified xsi:type="dcterms:W3CDTF">2022-12-20T06:45:19Z</dcterms:modified>
  <dc:title>梁平县双桂街道安宁村_x000b_现状分析及规划指引报告</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65F701403B764E368BE632FA1714F6B0</vt:lpwstr>
  </property>
</Properties>
</file>