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eastAsia="方正黑体_GBK"/>
          <w:kern w:val="0"/>
          <w:sz w:val="32"/>
          <w:szCs w:val="32"/>
        </w:rPr>
      </w:pPr>
      <w:bookmarkStart w:id="0" w:name="_GoBack"/>
      <w:bookmarkEnd w:id="0"/>
      <w:r>
        <w:rPr>
          <w:rFonts w:eastAsia="方正黑体_GBK"/>
          <w:kern w:val="0"/>
          <w:sz w:val="32"/>
          <w:szCs w:val="32"/>
        </w:rPr>
        <w:t>附件3-1</w:t>
      </w:r>
    </w:p>
    <w:tbl>
      <w:tblPr>
        <w:tblStyle w:val="19"/>
        <w:tblW w:w="13760" w:type="dxa"/>
        <w:tblInd w:w="93" w:type="dxa"/>
        <w:tblLayout w:type="autofit"/>
        <w:tblCellMar>
          <w:top w:w="0" w:type="dxa"/>
          <w:left w:w="108" w:type="dxa"/>
          <w:bottom w:w="0" w:type="dxa"/>
          <w:right w:w="108" w:type="dxa"/>
        </w:tblCellMar>
      </w:tblPr>
      <w:tblGrid>
        <w:gridCol w:w="2567"/>
        <w:gridCol w:w="1797"/>
        <w:gridCol w:w="3662"/>
        <w:gridCol w:w="1203"/>
        <w:gridCol w:w="1418"/>
        <w:gridCol w:w="1559"/>
        <w:gridCol w:w="1554"/>
      </w:tblGrid>
      <w:tr>
        <w:tblPrEx>
          <w:tblCellMar>
            <w:top w:w="0" w:type="dxa"/>
            <w:left w:w="108" w:type="dxa"/>
            <w:bottom w:w="0" w:type="dxa"/>
            <w:right w:w="108" w:type="dxa"/>
          </w:tblCellMar>
        </w:tblPrEx>
        <w:trPr>
          <w:trHeight w:val="450" w:hRule="atLeast"/>
        </w:trPr>
        <w:tc>
          <w:tcPr>
            <w:tcW w:w="13760" w:type="dxa"/>
            <w:gridSpan w:val="7"/>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梁平区司法局财政拨款收支总表</w:t>
            </w:r>
          </w:p>
        </w:tc>
      </w:tr>
      <w:tr>
        <w:tblPrEx>
          <w:tblCellMar>
            <w:top w:w="0" w:type="dxa"/>
            <w:left w:w="108" w:type="dxa"/>
            <w:bottom w:w="0" w:type="dxa"/>
            <w:right w:w="108" w:type="dxa"/>
          </w:tblCellMar>
        </w:tblPrEx>
        <w:trPr>
          <w:trHeight w:val="270" w:hRule="atLeast"/>
        </w:trPr>
        <w:tc>
          <w:tcPr>
            <w:tcW w:w="13760" w:type="dxa"/>
            <w:gridSpan w:val="7"/>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　　单位：万元</w:t>
            </w:r>
          </w:p>
        </w:tc>
      </w:tr>
      <w:tr>
        <w:tblPrEx>
          <w:tblCellMar>
            <w:top w:w="0" w:type="dxa"/>
            <w:left w:w="108" w:type="dxa"/>
            <w:bottom w:w="0" w:type="dxa"/>
            <w:right w:w="108" w:type="dxa"/>
          </w:tblCellMar>
        </w:tblPrEx>
        <w:trPr>
          <w:trHeight w:val="253" w:hRule="atLeast"/>
        </w:trPr>
        <w:tc>
          <w:tcPr>
            <w:tcW w:w="436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9396" w:type="dxa"/>
            <w:gridSpan w:val="5"/>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79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366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20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一般公共预算财政拨款</w:t>
            </w:r>
          </w:p>
        </w:tc>
        <w:tc>
          <w:tcPr>
            <w:tcW w:w="1559"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政府性基金预算财政拨款</w:t>
            </w:r>
          </w:p>
        </w:tc>
        <w:tc>
          <w:tcPr>
            <w:tcW w:w="1554"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国有资本经营预算财政拨款</w:t>
            </w: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一、本年收入</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2578.38</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2578.47</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2578.47</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2578.38</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公共安全支出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2128.01</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2128.01</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社会保障和就业支出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274.77</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274.77</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rPr>
              <w:t>卫生健康支出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67.63</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67.63</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r>
              <w:rPr>
                <w:rFonts w:eastAsia="方正仿宋_GBK"/>
                <w:kern w:val="0"/>
                <w:sz w:val="22"/>
                <w:szCs w:val="22"/>
              </w:rPr>
              <w:t>住房保障支出</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108.06</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108.06</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二、上年结转</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0.09</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rPr>
              <w:t>0.09</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二、结转下年</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收入总数</w:t>
            </w:r>
          </w:p>
        </w:tc>
        <w:tc>
          <w:tcPr>
            <w:tcW w:w="1797"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2578.47</w:t>
            </w:r>
          </w:p>
        </w:tc>
        <w:tc>
          <w:tcPr>
            <w:tcW w:w="3662"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支出总数</w:t>
            </w:r>
          </w:p>
        </w:tc>
        <w:tc>
          <w:tcPr>
            <w:tcW w:w="1203"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2578.47</w:t>
            </w:r>
          </w:p>
        </w:tc>
        <w:tc>
          <w:tcPr>
            <w:tcW w:w="1418"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r>
              <w:rPr>
                <w:rFonts w:hint="eastAsia" w:eastAsia="方正仿宋_GBK"/>
                <w:color w:val="000000"/>
                <w:kern w:val="0"/>
                <w:sz w:val="22"/>
                <w:szCs w:val="22"/>
              </w:rPr>
              <w:t>2578.47</w:t>
            </w:r>
          </w:p>
        </w:tc>
        <w:tc>
          <w:tcPr>
            <w:tcW w:w="1559"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000000"/>
                <w:kern w:val="0"/>
                <w:sz w:val="22"/>
                <w:szCs w:val="22"/>
              </w:rPr>
            </w:pPr>
          </w:p>
        </w:tc>
        <w:tc>
          <w:tcPr>
            <w:tcW w:w="1554" w:type="dxa"/>
            <w:tcBorders>
              <w:top w:val="single" w:color="auto" w:sz="4" w:space="0"/>
              <w:left w:val="nil"/>
              <w:bottom w:val="single" w:color="auto" w:sz="4" w:space="0"/>
              <w:right w:val="single" w:color="auto" w:sz="4" w:space="0"/>
            </w:tcBorders>
            <w:noWrap/>
            <w:vAlign w:val="center"/>
          </w:tcPr>
          <w:p>
            <w:pPr>
              <w:widowControl/>
              <w:spacing w:line="300" w:lineRule="exact"/>
              <w:jc w:val="right"/>
              <w:rPr>
                <w:rFonts w:eastAsia="方正仿宋_GBK"/>
                <w:color w:val="FFFFFF"/>
                <w:kern w:val="0"/>
                <w:sz w:val="22"/>
                <w:szCs w:val="22"/>
              </w:rPr>
            </w:pPr>
          </w:p>
        </w:tc>
      </w:tr>
    </w:tbl>
    <w:p>
      <w:pPr>
        <w:widowControl/>
        <w:rPr>
          <w:rFonts w:eastAsia="方正仿宋_GBK"/>
          <w:bCs/>
          <w:color w:val="000000"/>
          <w:kern w:val="0"/>
          <w:sz w:val="36"/>
          <w:szCs w:val="36"/>
        </w:rPr>
        <w:sectPr>
          <w:pgSz w:w="16838" w:h="11906" w:orient="landscape"/>
          <w:pgMar w:top="1418" w:right="1474" w:bottom="1361" w:left="1474" w:header="851" w:footer="964" w:gutter="0"/>
          <w:cols w:space="720" w:num="1"/>
          <w:docGrid w:linePitch="312" w:charSpace="0"/>
        </w:sectPr>
      </w:pPr>
    </w:p>
    <w:p>
      <w:pPr>
        <w:adjustRightInd w:val="0"/>
        <w:snapToGrid w:val="0"/>
        <w:spacing w:line="594" w:lineRule="exact"/>
        <w:rPr>
          <w:rFonts w:eastAsia="方正黑体_GBK"/>
          <w:color w:val="000000"/>
          <w:sz w:val="32"/>
          <w:szCs w:val="32"/>
        </w:rPr>
      </w:pPr>
      <w:r>
        <w:rPr>
          <w:rFonts w:eastAsia="方正黑体_GBK"/>
          <w:bCs/>
          <w:color w:val="000000"/>
          <w:kern w:val="0"/>
          <w:sz w:val="36"/>
          <w:szCs w:val="36"/>
        </w:rPr>
        <w:t>附件3-2</w:t>
      </w:r>
    </w:p>
    <w:tbl>
      <w:tblPr>
        <w:tblStyle w:val="19"/>
        <w:tblW w:w="9557" w:type="dxa"/>
        <w:jc w:val="center"/>
        <w:tblLayout w:type="autofit"/>
        <w:tblCellMar>
          <w:top w:w="0" w:type="dxa"/>
          <w:left w:w="108" w:type="dxa"/>
          <w:bottom w:w="0" w:type="dxa"/>
          <w:right w:w="108" w:type="dxa"/>
        </w:tblCellMar>
      </w:tblPr>
      <w:tblGrid>
        <w:gridCol w:w="1317"/>
        <w:gridCol w:w="3185"/>
        <w:gridCol w:w="1417"/>
        <w:gridCol w:w="1635"/>
        <w:gridCol w:w="1559"/>
        <w:gridCol w:w="444"/>
      </w:tblGrid>
      <w:tr>
        <w:tblPrEx>
          <w:tblCellMar>
            <w:top w:w="0" w:type="dxa"/>
            <w:left w:w="108" w:type="dxa"/>
            <w:bottom w:w="0" w:type="dxa"/>
            <w:right w:w="108" w:type="dxa"/>
          </w:tblCellMar>
        </w:tblPrEx>
        <w:trPr>
          <w:trHeight w:val="450" w:hRule="atLeast"/>
          <w:jc w:val="center"/>
        </w:trPr>
        <w:tc>
          <w:tcPr>
            <w:tcW w:w="9557" w:type="dxa"/>
            <w:gridSpan w:val="6"/>
            <w:tcBorders>
              <w:top w:val="nil"/>
              <w:left w:val="nil"/>
              <w:bottom w:val="nil"/>
              <w:right w:val="nil"/>
            </w:tcBorders>
            <w:vAlign w:val="center"/>
          </w:tcPr>
          <w:p>
            <w:pPr>
              <w:widowControl/>
              <w:snapToGrid w:val="0"/>
              <w:spacing w:line="560" w:lineRule="exact"/>
              <w:jc w:val="center"/>
              <w:rPr>
                <w:rFonts w:eastAsia="方正小标宋_GBK"/>
                <w:kern w:val="0"/>
                <w:sz w:val="36"/>
                <w:szCs w:val="36"/>
              </w:rPr>
            </w:pPr>
            <w:r>
              <w:rPr>
                <w:rFonts w:hint="eastAsia" w:eastAsia="方正小标宋_GBK"/>
                <w:kern w:val="0"/>
                <w:sz w:val="36"/>
                <w:szCs w:val="36"/>
              </w:rPr>
              <w:t>重庆市</w:t>
            </w:r>
            <w:r>
              <w:rPr>
                <w:rFonts w:eastAsia="方正小标宋_GBK"/>
                <w:kern w:val="0"/>
                <w:sz w:val="36"/>
                <w:szCs w:val="36"/>
              </w:rPr>
              <w:t>梁平区司法局一般公共预算财政拨款支出预算表</w:t>
            </w:r>
          </w:p>
        </w:tc>
      </w:tr>
      <w:tr>
        <w:tblPrEx>
          <w:tblCellMar>
            <w:top w:w="0" w:type="dxa"/>
            <w:left w:w="108" w:type="dxa"/>
            <w:bottom w:w="0" w:type="dxa"/>
            <w:right w:w="108" w:type="dxa"/>
          </w:tblCellMar>
        </w:tblPrEx>
        <w:trPr>
          <w:trHeight w:val="270" w:hRule="atLeast"/>
          <w:jc w:val="center"/>
        </w:trPr>
        <w:tc>
          <w:tcPr>
            <w:tcW w:w="9557" w:type="dxa"/>
            <w:gridSpan w:val="6"/>
            <w:tcBorders>
              <w:top w:val="nil"/>
              <w:left w:val="nil"/>
              <w:bottom w:val="nil"/>
            </w:tcBorders>
            <w:noWrap/>
            <w:vAlign w:val="center"/>
          </w:tcPr>
          <w:p>
            <w:pPr>
              <w:widowControl/>
              <w:ind w:right="440" w:firstLine="7700" w:firstLineChars="3500"/>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gridAfter w:val="1"/>
          <w:wAfter w:w="581" w:type="dxa"/>
          <w:trHeight w:val="270" w:hRule="atLeast"/>
          <w:jc w:val="center"/>
        </w:trPr>
        <w:tc>
          <w:tcPr>
            <w:tcW w:w="4365"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功能分类科目</w:t>
            </w:r>
          </w:p>
        </w:tc>
        <w:tc>
          <w:tcPr>
            <w:tcW w:w="461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2023年预算数</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科目编码</w:t>
            </w:r>
          </w:p>
        </w:tc>
        <w:tc>
          <w:tcPr>
            <w:tcW w:w="318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417" w:type="dxa"/>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小计</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color w:val="000000"/>
                <w:kern w:val="0"/>
                <w:sz w:val="22"/>
                <w:szCs w:val="22"/>
              </w:rPr>
            </w:pPr>
            <w:r>
              <w:rPr>
                <w:rFonts w:eastAsia="方正仿宋_GBK"/>
                <w:color w:val="000000"/>
                <w:kern w:val="0"/>
                <w:sz w:val="22"/>
                <w:szCs w:val="22"/>
              </w:rPr>
              <w:t>　</w:t>
            </w:r>
          </w:p>
        </w:tc>
        <w:tc>
          <w:tcPr>
            <w:tcW w:w="318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7"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2578.38</w:t>
            </w:r>
          </w:p>
        </w:tc>
        <w:tc>
          <w:tcPr>
            <w:tcW w:w="163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1827.38</w:t>
            </w:r>
          </w:p>
        </w:tc>
        <w:tc>
          <w:tcPr>
            <w:tcW w:w="1559"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751.00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3185"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2127.92</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1376.92</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751.00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2127.92</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1376.92</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751.00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行政运行</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1185.66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1185.66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40604</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基层</w:t>
            </w:r>
            <w:r>
              <w:rPr>
                <w:rFonts w:eastAsia="方正仿宋_GBK"/>
                <w:kern w:val="0"/>
                <w:sz w:val="20"/>
                <w:szCs w:val="20"/>
              </w:rPr>
              <w:t>司法业务</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40605</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普法</w:t>
            </w:r>
            <w:r>
              <w:rPr>
                <w:rFonts w:eastAsia="方正仿宋_GBK"/>
                <w:kern w:val="0"/>
                <w:sz w:val="20"/>
                <w:szCs w:val="20"/>
              </w:rPr>
              <w:t>宣传</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65.00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40607</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公共</w:t>
            </w:r>
            <w:r>
              <w:rPr>
                <w:rFonts w:eastAsia="方正仿宋_GBK"/>
                <w:kern w:val="0"/>
                <w:sz w:val="20"/>
                <w:szCs w:val="20"/>
              </w:rPr>
              <w:t>法律服务</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470.00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470.00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40610</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社区矫正</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136.00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136.00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40612</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法治建设</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40.00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40650</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运行</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191.26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191.26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2040699</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其他</w:t>
            </w:r>
            <w:r>
              <w:rPr>
                <w:rFonts w:eastAsia="方正仿宋_GBK"/>
                <w:kern w:val="0"/>
                <w:sz w:val="20"/>
                <w:szCs w:val="20"/>
              </w:rPr>
              <w:t>司法支出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30.00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30.00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3185"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274.77</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274.77</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265.95</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265.95</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单位离退休</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74.48</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74.48</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2080502</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事业</w:t>
            </w:r>
            <w:r>
              <w:rPr>
                <w:rFonts w:eastAsia="方正仿宋_GBK"/>
                <w:bCs/>
                <w:kern w:val="0"/>
                <w:sz w:val="20"/>
                <w:szCs w:val="20"/>
              </w:rPr>
              <w:t>单位离退休</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5.32</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5.32</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124.10</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124.10</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62.05</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62.05</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抚恤</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8.82</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8.82</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死亡</w:t>
            </w:r>
            <w:r>
              <w:rPr>
                <w:rFonts w:eastAsia="方正仿宋_GBK"/>
                <w:kern w:val="0"/>
                <w:sz w:val="20"/>
                <w:szCs w:val="20"/>
              </w:rPr>
              <w:t>抚恤</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8.82</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8.82</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3185"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67.63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67.63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67.63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67.63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单位医疗</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42.73</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42.73</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2101102</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单位医疗</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7.86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7.86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17.04</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17.04</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3185"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108.06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108.06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3185"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108.06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108.06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3185"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417" w:type="dxa"/>
            <w:tcBorders>
              <w:top w:val="nil"/>
              <w:left w:val="single" w:color="auto" w:sz="4" w:space="0"/>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108.06</w:t>
            </w:r>
          </w:p>
        </w:tc>
        <w:tc>
          <w:tcPr>
            <w:tcW w:w="1635"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r>
              <w:rPr>
                <w:rFonts w:hint="eastAsia" w:eastAsia="方正仿宋_GBK"/>
                <w:color w:val="000000"/>
                <w:kern w:val="0"/>
                <w:sz w:val="22"/>
                <w:szCs w:val="22"/>
              </w:rPr>
              <w:t>108.06</w:t>
            </w:r>
          </w:p>
        </w:tc>
        <w:tc>
          <w:tcPr>
            <w:tcW w:w="1559" w:type="dxa"/>
            <w:tcBorders>
              <w:top w:val="nil"/>
              <w:left w:val="nil"/>
              <w:bottom w:val="single" w:color="auto" w:sz="4" w:space="0"/>
              <w:right w:val="single" w:color="auto" w:sz="4" w:space="0"/>
            </w:tcBorders>
            <w:noWrap/>
            <w:vAlign w:val="center"/>
          </w:tcPr>
          <w:p>
            <w:pPr>
              <w:widowControl/>
              <w:jc w:val="right"/>
              <w:rPr>
                <w:rFonts w:eastAsia="方正仿宋_GBK"/>
                <w:color w:val="000000"/>
                <w:kern w:val="0"/>
                <w:sz w:val="22"/>
                <w:szCs w:val="22"/>
              </w:rPr>
            </w:pPr>
          </w:p>
        </w:tc>
      </w:tr>
    </w:tbl>
    <w:p>
      <w:pPr>
        <w:adjustRightInd w:val="0"/>
        <w:snapToGrid w:val="0"/>
        <w:spacing w:line="594" w:lineRule="exact"/>
        <w:rPr>
          <w:rFonts w:eastAsia="方正仿宋_GBK"/>
          <w:color w:val="000000"/>
          <w:sz w:val="24"/>
        </w:rPr>
      </w:pPr>
      <w:r>
        <w:rPr>
          <w:rFonts w:eastAsia="方正仿宋_GBK"/>
          <w:color w:val="000000"/>
          <w:sz w:val="24"/>
        </w:rPr>
        <w:t>备注：本表反映2023年当年一般公共预算财政拨款支出情况。</w:t>
      </w:r>
    </w:p>
    <w:p>
      <w:pPr>
        <w:adjustRightInd w:val="0"/>
        <w:snapToGrid w:val="0"/>
        <w:spacing w:line="594" w:lineRule="exac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黑体_GBK"/>
          <w:kern w:val="0"/>
          <w:sz w:val="32"/>
          <w:szCs w:val="32"/>
        </w:rPr>
      </w:pPr>
      <w:r>
        <w:rPr>
          <w:rFonts w:eastAsia="方正黑体_GBK"/>
          <w:kern w:val="0"/>
          <w:sz w:val="32"/>
          <w:szCs w:val="32"/>
        </w:rPr>
        <w:t>附件3-3</w:t>
      </w:r>
    </w:p>
    <w:tbl>
      <w:tblPr>
        <w:tblStyle w:val="19"/>
        <w:tblW w:w="9087" w:type="dxa"/>
        <w:jc w:val="center"/>
        <w:tblLayout w:type="autofit"/>
        <w:tblCellMar>
          <w:top w:w="0" w:type="dxa"/>
          <w:left w:w="108" w:type="dxa"/>
          <w:bottom w:w="0" w:type="dxa"/>
          <w:right w:w="108" w:type="dxa"/>
        </w:tblCellMar>
      </w:tblPr>
      <w:tblGrid>
        <w:gridCol w:w="1259"/>
        <w:gridCol w:w="3718"/>
        <w:gridCol w:w="1536"/>
        <w:gridCol w:w="1299"/>
        <w:gridCol w:w="1275"/>
      </w:tblGrid>
      <w:tr>
        <w:tblPrEx>
          <w:tblCellMar>
            <w:top w:w="0" w:type="dxa"/>
            <w:left w:w="108" w:type="dxa"/>
            <w:bottom w:w="0" w:type="dxa"/>
            <w:right w:w="108" w:type="dxa"/>
          </w:tblCellMar>
        </w:tblPrEx>
        <w:trPr>
          <w:trHeight w:val="450" w:hRule="atLeast"/>
          <w:jc w:val="center"/>
        </w:trPr>
        <w:tc>
          <w:tcPr>
            <w:tcW w:w="9087" w:type="dxa"/>
            <w:gridSpan w:val="5"/>
            <w:tcBorders>
              <w:top w:val="nil"/>
              <w:left w:val="nil"/>
              <w:bottom w:val="nil"/>
            </w:tcBorders>
            <w:noWrap/>
            <w:vAlign w:val="center"/>
          </w:tcPr>
          <w:p>
            <w:pPr>
              <w:widowControl/>
              <w:spacing w:line="440" w:lineRule="exact"/>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梁平区司法局一般公共预算财政拨款基本支出预算表</w:t>
            </w:r>
          </w:p>
        </w:tc>
      </w:tr>
      <w:tr>
        <w:tblPrEx>
          <w:tblCellMar>
            <w:top w:w="0" w:type="dxa"/>
            <w:left w:w="108" w:type="dxa"/>
            <w:bottom w:w="0" w:type="dxa"/>
            <w:right w:w="108" w:type="dxa"/>
          </w:tblCellMar>
        </w:tblPrEx>
        <w:trPr>
          <w:trHeight w:val="270" w:hRule="atLeast"/>
          <w:jc w:val="center"/>
        </w:trPr>
        <w:tc>
          <w:tcPr>
            <w:tcW w:w="9087"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170" w:hRule="atLeast"/>
          <w:jc w:val="center"/>
        </w:trPr>
        <w:tc>
          <w:tcPr>
            <w:tcW w:w="497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经济分类科目</w:t>
            </w:r>
          </w:p>
        </w:tc>
        <w:tc>
          <w:tcPr>
            <w:tcW w:w="4110"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2023年基本支出</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科目编码</w:t>
            </w:r>
          </w:p>
        </w:tc>
        <w:tc>
          <w:tcPr>
            <w:tcW w:w="3718"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科目名称</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人员经费</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公用经费</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w:t>
            </w:r>
          </w:p>
        </w:tc>
        <w:tc>
          <w:tcPr>
            <w:tcW w:w="3718"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536"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rPr>
              <w:t>1827.38</w:t>
            </w:r>
          </w:p>
        </w:tc>
        <w:tc>
          <w:tcPr>
            <w:tcW w:w="1299"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rPr>
              <w:t>1529.30</w:t>
            </w:r>
          </w:p>
        </w:tc>
        <w:tc>
          <w:tcPr>
            <w:tcW w:w="1275" w:type="dxa"/>
            <w:tcBorders>
              <w:top w:val="nil"/>
              <w:left w:val="nil"/>
              <w:bottom w:val="single" w:color="auto" w:sz="4" w:space="0"/>
              <w:right w:val="single" w:color="auto" w:sz="4" w:space="0"/>
            </w:tcBorders>
            <w:noWrap/>
            <w:vAlign w:val="center"/>
          </w:tcPr>
          <w:p>
            <w:pPr>
              <w:widowControl/>
              <w:spacing w:line="240" w:lineRule="exact"/>
              <w:jc w:val="center"/>
              <w:rPr>
                <w:rFonts w:eastAsia="方正仿宋_GBK"/>
                <w:color w:val="000000"/>
                <w:kern w:val="0"/>
                <w:sz w:val="22"/>
                <w:szCs w:val="22"/>
              </w:rPr>
            </w:pPr>
            <w:r>
              <w:rPr>
                <w:rFonts w:hint="eastAsia" w:eastAsia="方正仿宋_GBK"/>
                <w:color w:val="000000"/>
                <w:kern w:val="0"/>
                <w:sz w:val="22"/>
                <w:szCs w:val="22"/>
              </w:rPr>
              <w:t>298.08</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301</w:t>
            </w:r>
          </w:p>
        </w:tc>
        <w:tc>
          <w:tcPr>
            <w:tcW w:w="3718"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工资福利支出</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1470.66</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1434.56</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36.10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30101</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基本工资</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294.93</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294.93</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30102</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津贴补贴</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270.58</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270.58</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30103</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奖金</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388.42</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388.42</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30106</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伙食补助费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36.10</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36.10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30107</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绩效工资</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112.31</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112.31</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30108</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机关事业单位基本养老保险缴费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124.10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124.10</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30109</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职业年金缴费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62.05</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62.05</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30110</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职工基本医疗保险缴费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50.59</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50.59</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30112</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其他社会保障缴费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4.26</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4.26</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30113</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住房公积金</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108.06</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108.06</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30114</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hint="eastAsia" w:eastAsia="方正仿宋_GBK"/>
                <w:color w:val="000000"/>
                <w:kern w:val="0"/>
                <w:sz w:val="22"/>
                <w:szCs w:val="22"/>
              </w:rPr>
              <w:t xml:space="preserve">  医疗费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11.04</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11.04</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30199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其他工资福利支出</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8.22</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8.22</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302</w:t>
            </w:r>
          </w:p>
        </w:tc>
        <w:tc>
          <w:tcPr>
            <w:tcW w:w="3718" w:type="dxa"/>
            <w:tcBorders>
              <w:top w:val="nil"/>
              <w:left w:val="nil"/>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商品和服务支出</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261.98</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261.98</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30201</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办公费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18.10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18.10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30202</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印刷费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24.70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24.70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30205</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水费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30206</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电费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30207</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邮电费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18.66</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18.66</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30209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物业管理费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30211</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差旅费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34.90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34.90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30215</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会议费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30216</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培训费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7.74</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7.74</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30217</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公务接待费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30226</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劳务费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0.60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0.60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30228</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工会经费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56.39</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56.39</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30229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福利费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14.63</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14.63</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30231</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公务用车运行维护费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15.00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15.00</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30239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其他交通费用</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44.26</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44.26</w:t>
            </w: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rPr>
                <w:rFonts w:eastAsia="方正仿宋_GBK"/>
                <w:color w:val="000000"/>
                <w:kern w:val="0"/>
                <w:sz w:val="22"/>
                <w:szCs w:val="22"/>
              </w:rPr>
            </w:pPr>
            <w:r>
              <w:rPr>
                <w:rFonts w:eastAsia="方正仿宋_GBK"/>
                <w:color w:val="000000"/>
                <w:kern w:val="0"/>
                <w:sz w:val="22"/>
                <w:szCs w:val="22"/>
              </w:rPr>
              <w:t>303</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对个人和家庭的补助</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94.74</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94.74</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30304</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抚恤金</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8.82</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8.82</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30307</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医疗费</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6.00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6.00</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30309</w:t>
            </w:r>
          </w:p>
        </w:tc>
        <w:tc>
          <w:tcPr>
            <w:tcW w:w="3718" w:type="dxa"/>
            <w:tcBorders>
              <w:top w:val="nil"/>
              <w:left w:val="nil"/>
              <w:bottom w:val="single" w:color="auto" w:sz="4" w:space="0"/>
              <w:right w:val="single" w:color="auto" w:sz="4" w:space="0"/>
            </w:tcBorders>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奖励金</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0.12</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0.12</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30399</w:t>
            </w:r>
          </w:p>
        </w:tc>
        <w:tc>
          <w:tcPr>
            <w:tcW w:w="3718" w:type="dxa"/>
            <w:tcBorders>
              <w:top w:val="nil"/>
              <w:left w:val="nil"/>
              <w:bottom w:val="single" w:color="auto" w:sz="4" w:space="0"/>
              <w:right w:val="single" w:color="auto" w:sz="4" w:space="0"/>
            </w:tcBorders>
            <w:noWrap/>
            <w:vAlign w:val="center"/>
          </w:tcPr>
          <w:p>
            <w:pPr>
              <w:widowControl/>
              <w:spacing w:line="240" w:lineRule="exact"/>
              <w:ind w:firstLine="220" w:firstLineChars="100"/>
              <w:jc w:val="left"/>
              <w:rPr>
                <w:rFonts w:eastAsia="方正仿宋_GBK"/>
                <w:color w:val="000000"/>
                <w:kern w:val="0"/>
                <w:sz w:val="22"/>
                <w:szCs w:val="22"/>
              </w:rPr>
            </w:pPr>
            <w:r>
              <w:rPr>
                <w:rFonts w:eastAsia="方正仿宋_GBK"/>
                <w:color w:val="000000"/>
                <w:kern w:val="0"/>
                <w:sz w:val="22"/>
                <w:szCs w:val="22"/>
              </w:rPr>
              <w:t>其他对个人和家庭的补助</w:t>
            </w:r>
          </w:p>
        </w:tc>
        <w:tc>
          <w:tcPr>
            <w:tcW w:w="1536"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79.80</w:t>
            </w:r>
            <w:r>
              <w:rPr>
                <w:rFonts w:eastAsia="方正仿宋_GBK"/>
                <w:color w:val="000000"/>
                <w:kern w:val="0"/>
                <w:sz w:val="22"/>
                <w:szCs w:val="22"/>
              </w:rPr>
              <w:t>　</w:t>
            </w:r>
          </w:p>
        </w:tc>
        <w:tc>
          <w:tcPr>
            <w:tcW w:w="1299"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hint="eastAsia" w:eastAsia="方正仿宋_GBK"/>
                <w:color w:val="000000"/>
                <w:kern w:val="0"/>
                <w:sz w:val="22"/>
                <w:szCs w:val="22"/>
              </w:rPr>
              <w:t>79.80</w:t>
            </w: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spacing w:line="240" w:lineRule="exact"/>
              <w:jc w:val="right"/>
              <w:rPr>
                <w:rFonts w:eastAsia="方正仿宋_GBK"/>
                <w:color w:val="000000"/>
                <w:kern w:val="0"/>
                <w:sz w:val="22"/>
                <w:szCs w:val="22"/>
              </w:rPr>
            </w:pPr>
            <w:r>
              <w:rPr>
                <w:rFonts w:eastAsia="方正仿宋_GBK"/>
                <w:color w:val="000000"/>
                <w:kern w:val="0"/>
                <w:sz w:val="22"/>
                <w:szCs w:val="22"/>
              </w:rPr>
              <w:t>　</w:t>
            </w:r>
          </w:p>
        </w:tc>
      </w:tr>
    </w:tbl>
    <w:p>
      <w:pPr>
        <w:widowControl/>
        <w:snapToGrid w:val="0"/>
        <w:spacing w:after="240" w:afterLines="100" w:line="560" w:lineRule="exact"/>
        <w:jc w:val="left"/>
        <w:rPr>
          <w:rFonts w:eastAsia="方正黑体_GBK"/>
          <w:kern w:val="0"/>
          <w:sz w:val="32"/>
          <w:szCs w:val="32"/>
        </w:rPr>
        <w:sectPr>
          <w:headerReference r:id="rId3" w:type="default"/>
          <w:footerReference r:id="rId4" w:type="default"/>
          <w:pgSz w:w="11906" w:h="16838"/>
          <w:pgMar w:top="1361" w:right="1361" w:bottom="1361" w:left="1361" w:header="851" w:footer="850" w:gutter="0"/>
          <w:cols w:space="720" w:num="1"/>
          <w:docGrid w:linePitch="312" w:charSpace="0"/>
        </w:sectPr>
      </w:pPr>
    </w:p>
    <w:p>
      <w:pPr>
        <w:widowControl/>
        <w:snapToGrid w:val="0"/>
        <w:spacing w:after="240" w:afterLines="100" w:line="560" w:lineRule="exact"/>
        <w:jc w:val="left"/>
        <w:rPr>
          <w:rFonts w:eastAsia="方正黑体_GBK"/>
          <w:kern w:val="0"/>
          <w:sz w:val="32"/>
          <w:szCs w:val="32"/>
        </w:rPr>
      </w:pPr>
      <w:r>
        <w:rPr>
          <w:rFonts w:eastAsia="方正黑体_GBK"/>
          <w:kern w:val="0"/>
          <w:sz w:val="32"/>
          <w:szCs w:val="32"/>
        </w:rPr>
        <w:t>附件3-4</w:t>
      </w:r>
    </w:p>
    <w:tbl>
      <w:tblPr>
        <w:tblStyle w:val="19"/>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479"/>
        <w:gridCol w:w="1522"/>
        <w:gridCol w:w="1984"/>
        <w:gridCol w:w="1985"/>
        <w:gridCol w:w="1482"/>
        <w:gridCol w:w="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660" w:hRule="atLeast"/>
          <w:jc w:val="center"/>
        </w:trPr>
        <w:tc>
          <w:tcPr>
            <w:tcW w:w="9778" w:type="dxa"/>
            <w:gridSpan w:val="6"/>
            <w:tcBorders>
              <w:top w:val="nil"/>
              <w:left w:val="nil"/>
              <w:bottom w:val="nil"/>
              <w:right w:val="nil"/>
            </w:tcBorders>
            <w:noWrap/>
          </w:tcPr>
          <w:p>
            <w:pPr>
              <w:widowControl/>
              <w:spacing w:line="440" w:lineRule="exact"/>
              <w:jc w:val="center"/>
              <w:rPr>
                <w:rFonts w:eastAsia="方正仿宋_GBK"/>
                <w:b/>
                <w:bCs/>
                <w:kern w:val="0"/>
                <w:sz w:val="32"/>
                <w:szCs w:val="32"/>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808" w:hRule="atLeast"/>
          <w:jc w:val="center"/>
        </w:trPr>
        <w:tc>
          <w:tcPr>
            <w:tcW w:w="9778" w:type="dxa"/>
            <w:gridSpan w:val="6"/>
            <w:tcBorders>
              <w:top w:val="nil"/>
              <w:left w:val="nil"/>
              <w:bottom w:val="single" w:color="auto" w:sz="4" w:space="0"/>
              <w:right w:val="nil"/>
            </w:tcBorders>
            <w:noWrap/>
            <w:vAlign w:val="center"/>
          </w:tcPr>
          <w:p>
            <w:pPr>
              <w:widowControl/>
              <w:snapToGrid w:val="0"/>
              <w:spacing w:line="560" w:lineRule="exact"/>
              <w:jc w:val="right"/>
              <w:rPr>
                <w:rFonts w:eastAsia="方正仿宋_GBK"/>
                <w:kern w:val="0"/>
                <w:sz w:val="22"/>
                <w:szCs w:val="22"/>
              </w:rPr>
            </w:pPr>
            <w:r>
              <w:rPr>
                <w:rFonts w:eastAsia="方正仿宋_GBK"/>
                <w:kern w:val="0"/>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42" w:type="dxa"/>
            <w:gridSpan w:val="7"/>
            <w:tcBorders>
              <w:top w:val="single" w:color="auto" w:sz="4" w:space="0"/>
            </w:tcBorders>
            <w:noWrap/>
            <w:vAlign w:val="center"/>
          </w:tcPr>
          <w:p>
            <w:pPr>
              <w:widowControl/>
              <w:snapToGrid w:val="0"/>
              <w:jc w:val="center"/>
              <w:rPr>
                <w:rFonts w:eastAsia="方正仿宋_GBK"/>
                <w:bCs/>
                <w:kern w:val="0"/>
                <w:sz w:val="24"/>
                <w:szCs w:val="22"/>
              </w:rPr>
            </w:pPr>
            <w:r>
              <w:rPr>
                <w:rFonts w:eastAsia="方正仿宋_GBK"/>
                <w:bCs/>
                <w:kern w:val="0"/>
                <w:sz w:val="24"/>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26" w:type="dxa"/>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合计</w:t>
            </w:r>
          </w:p>
        </w:tc>
        <w:tc>
          <w:tcPr>
            <w:tcW w:w="1479" w:type="dxa"/>
            <w:vMerge w:val="restart"/>
            <w:vAlign w:val="center"/>
          </w:tcPr>
          <w:p>
            <w:pPr>
              <w:widowControl/>
              <w:snapToGrid w:val="0"/>
              <w:jc w:val="center"/>
              <w:rPr>
                <w:rFonts w:eastAsia="方正仿宋_GBK"/>
                <w:bCs/>
                <w:kern w:val="0"/>
                <w:sz w:val="24"/>
                <w:szCs w:val="22"/>
              </w:rPr>
            </w:pPr>
            <w:r>
              <w:rPr>
                <w:rFonts w:eastAsia="方正仿宋_GBK"/>
                <w:bCs/>
                <w:kern w:val="0"/>
                <w:sz w:val="24"/>
                <w:szCs w:val="22"/>
              </w:rPr>
              <w:t>因公出国（境）费</w:t>
            </w:r>
          </w:p>
        </w:tc>
        <w:tc>
          <w:tcPr>
            <w:tcW w:w="5491" w:type="dxa"/>
            <w:gridSpan w:val="3"/>
            <w:noWrap/>
            <w:vAlign w:val="center"/>
          </w:tcPr>
          <w:p>
            <w:pPr>
              <w:widowControl/>
              <w:snapToGrid w:val="0"/>
              <w:jc w:val="center"/>
              <w:rPr>
                <w:rFonts w:eastAsia="方正仿宋_GBK"/>
                <w:bCs/>
                <w:kern w:val="0"/>
                <w:sz w:val="24"/>
                <w:szCs w:val="22"/>
              </w:rPr>
            </w:pPr>
            <w:r>
              <w:rPr>
                <w:rFonts w:eastAsia="方正仿宋_GBK"/>
                <w:bCs/>
                <w:kern w:val="0"/>
                <w:sz w:val="24"/>
                <w:szCs w:val="22"/>
              </w:rPr>
              <w:t>公务用车购置及运行费</w:t>
            </w:r>
          </w:p>
        </w:tc>
        <w:tc>
          <w:tcPr>
            <w:tcW w:w="1546" w:type="dxa"/>
            <w:gridSpan w:val="2"/>
            <w:vMerge w:val="restart"/>
            <w:noWrap/>
            <w:vAlign w:val="center"/>
          </w:tcPr>
          <w:p>
            <w:pPr>
              <w:widowControl/>
              <w:snapToGrid w:val="0"/>
              <w:jc w:val="center"/>
              <w:rPr>
                <w:rFonts w:eastAsia="方正仿宋_GBK"/>
                <w:bCs/>
                <w:kern w:val="0"/>
                <w:sz w:val="24"/>
                <w:szCs w:val="22"/>
              </w:rPr>
            </w:pPr>
            <w:r>
              <w:rPr>
                <w:rFonts w:eastAsia="方正仿宋_GBK"/>
                <w:bCs/>
                <w:kern w:val="0"/>
                <w:sz w:val="24"/>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26" w:type="dxa"/>
            <w:vMerge w:val="continue"/>
            <w:vAlign w:val="center"/>
          </w:tcPr>
          <w:p>
            <w:pPr>
              <w:widowControl/>
              <w:snapToGrid w:val="0"/>
              <w:jc w:val="center"/>
              <w:rPr>
                <w:rFonts w:eastAsia="方正仿宋_GBK"/>
                <w:bCs/>
                <w:kern w:val="0"/>
                <w:sz w:val="24"/>
                <w:szCs w:val="22"/>
              </w:rPr>
            </w:pPr>
          </w:p>
        </w:tc>
        <w:tc>
          <w:tcPr>
            <w:tcW w:w="1479" w:type="dxa"/>
            <w:vMerge w:val="continue"/>
            <w:vAlign w:val="center"/>
          </w:tcPr>
          <w:p>
            <w:pPr>
              <w:widowControl/>
              <w:snapToGrid w:val="0"/>
              <w:jc w:val="center"/>
              <w:rPr>
                <w:rFonts w:eastAsia="方正仿宋_GBK"/>
                <w:bCs/>
                <w:kern w:val="0"/>
                <w:sz w:val="24"/>
                <w:szCs w:val="22"/>
              </w:rPr>
            </w:pPr>
          </w:p>
        </w:tc>
        <w:tc>
          <w:tcPr>
            <w:tcW w:w="1522" w:type="dxa"/>
            <w:noWrap/>
            <w:vAlign w:val="center"/>
          </w:tcPr>
          <w:p>
            <w:pPr>
              <w:widowControl/>
              <w:snapToGrid w:val="0"/>
              <w:jc w:val="center"/>
              <w:rPr>
                <w:rFonts w:eastAsia="方正仿宋_GBK"/>
                <w:bCs/>
                <w:kern w:val="0"/>
                <w:sz w:val="24"/>
                <w:szCs w:val="22"/>
              </w:rPr>
            </w:pPr>
            <w:r>
              <w:rPr>
                <w:rFonts w:eastAsia="方正仿宋_GBK"/>
                <w:bCs/>
                <w:kern w:val="0"/>
                <w:sz w:val="24"/>
                <w:szCs w:val="22"/>
              </w:rPr>
              <w:t>小计</w:t>
            </w:r>
          </w:p>
        </w:tc>
        <w:tc>
          <w:tcPr>
            <w:tcW w:w="1984" w:type="dxa"/>
            <w:vAlign w:val="center"/>
          </w:tcPr>
          <w:p>
            <w:pPr>
              <w:widowControl/>
              <w:snapToGrid w:val="0"/>
              <w:jc w:val="center"/>
              <w:rPr>
                <w:rFonts w:eastAsia="方正仿宋_GBK"/>
                <w:bCs/>
                <w:kern w:val="0"/>
                <w:sz w:val="24"/>
                <w:szCs w:val="22"/>
              </w:rPr>
            </w:pPr>
            <w:r>
              <w:rPr>
                <w:rFonts w:eastAsia="方正仿宋_GBK"/>
                <w:bCs/>
                <w:kern w:val="0"/>
                <w:sz w:val="24"/>
                <w:szCs w:val="22"/>
              </w:rPr>
              <w:t>公务用车购置费</w:t>
            </w:r>
          </w:p>
        </w:tc>
        <w:tc>
          <w:tcPr>
            <w:tcW w:w="1985" w:type="dxa"/>
            <w:vAlign w:val="center"/>
          </w:tcPr>
          <w:p>
            <w:pPr>
              <w:widowControl/>
              <w:snapToGrid w:val="0"/>
              <w:jc w:val="center"/>
              <w:rPr>
                <w:rFonts w:eastAsia="方正仿宋_GBK"/>
                <w:bCs/>
                <w:kern w:val="0"/>
                <w:sz w:val="24"/>
                <w:szCs w:val="22"/>
              </w:rPr>
            </w:pPr>
            <w:r>
              <w:rPr>
                <w:rFonts w:eastAsia="方正仿宋_GBK"/>
                <w:bCs/>
                <w:kern w:val="0"/>
                <w:sz w:val="24"/>
                <w:szCs w:val="22"/>
              </w:rPr>
              <w:t>公务用车运行费</w:t>
            </w:r>
          </w:p>
        </w:tc>
        <w:tc>
          <w:tcPr>
            <w:tcW w:w="1546" w:type="dxa"/>
            <w:gridSpan w:val="2"/>
            <w:vMerge w:val="continue"/>
            <w:vAlign w:val="center"/>
          </w:tcPr>
          <w:p>
            <w:pPr>
              <w:widowControl/>
              <w:snapToGrid w:val="0"/>
              <w:jc w:val="center"/>
              <w:rPr>
                <w:rFonts w:eastAsia="方正仿宋_GBK"/>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26" w:type="dxa"/>
            <w:vAlign w:val="center"/>
          </w:tcPr>
          <w:p>
            <w:pPr>
              <w:widowControl/>
              <w:snapToGrid w:val="0"/>
              <w:jc w:val="center"/>
              <w:rPr>
                <w:rFonts w:eastAsia="方正仿宋_GBK"/>
                <w:kern w:val="0"/>
                <w:sz w:val="24"/>
                <w:szCs w:val="22"/>
              </w:rPr>
            </w:pPr>
            <w:r>
              <w:rPr>
                <w:rFonts w:hint="eastAsia" w:eastAsia="方正仿宋_GBK"/>
                <w:kern w:val="0"/>
                <w:sz w:val="24"/>
                <w:szCs w:val="22"/>
              </w:rPr>
              <w:t>20.00</w:t>
            </w:r>
          </w:p>
        </w:tc>
        <w:tc>
          <w:tcPr>
            <w:tcW w:w="1479" w:type="dxa"/>
            <w:vAlign w:val="center"/>
          </w:tcPr>
          <w:p>
            <w:pPr>
              <w:widowControl/>
              <w:snapToGrid w:val="0"/>
              <w:jc w:val="center"/>
              <w:rPr>
                <w:rFonts w:eastAsia="方正仿宋_GBK"/>
                <w:kern w:val="0"/>
                <w:sz w:val="24"/>
                <w:szCs w:val="22"/>
              </w:rPr>
            </w:pPr>
          </w:p>
        </w:tc>
        <w:tc>
          <w:tcPr>
            <w:tcW w:w="1522" w:type="dxa"/>
            <w:vAlign w:val="center"/>
          </w:tcPr>
          <w:p>
            <w:pPr>
              <w:widowControl/>
              <w:snapToGrid w:val="0"/>
              <w:jc w:val="center"/>
              <w:rPr>
                <w:rFonts w:eastAsia="方正仿宋_GBK"/>
                <w:kern w:val="0"/>
                <w:sz w:val="24"/>
                <w:szCs w:val="22"/>
              </w:rPr>
            </w:pPr>
            <w:r>
              <w:rPr>
                <w:rFonts w:hint="eastAsia" w:eastAsia="方正仿宋_GBK"/>
                <w:kern w:val="0"/>
                <w:sz w:val="24"/>
                <w:szCs w:val="22"/>
              </w:rPr>
              <w:t>15.00</w:t>
            </w:r>
          </w:p>
        </w:tc>
        <w:tc>
          <w:tcPr>
            <w:tcW w:w="1984" w:type="dxa"/>
            <w:vAlign w:val="center"/>
          </w:tcPr>
          <w:p>
            <w:pPr>
              <w:widowControl/>
              <w:snapToGrid w:val="0"/>
              <w:jc w:val="center"/>
              <w:rPr>
                <w:rFonts w:eastAsia="方正仿宋_GBK"/>
                <w:kern w:val="0"/>
                <w:sz w:val="24"/>
                <w:szCs w:val="22"/>
              </w:rPr>
            </w:pPr>
          </w:p>
        </w:tc>
        <w:tc>
          <w:tcPr>
            <w:tcW w:w="1985" w:type="dxa"/>
            <w:vAlign w:val="center"/>
          </w:tcPr>
          <w:p>
            <w:pPr>
              <w:widowControl/>
              <w:snapToGrid w:val="0"/>
              <w:jc w:val="center"/>
              <w:rPr>
                <w:rFonts w:eastAsia="方正仿宋_GBK"/>
                <w:kern w:val="0"/>
                <w:sz w:val="24"/>
                <w:szCs w:val="22"/>
              </w:rPr>
            </w:pPr>
            <w:r>
              <w:rPr>
                <w:rFonts w:hint="eastAsia" w:eastAsia="方正仿宋_GBK"/>
                <w:kern w:val="0"/>
                <w:sz w:val="24"/>
                <w:szCs w:val="22"/>
              </w:rPr>
              <w:t>15.00</w:t>
            </w:r>
          </w:p>
        </w:tc>
        <w:tc>
          <w:tcPr>
            <w:tcW w:w="1546" w:type="dxa"/>
            <w:gridSpan w:val="2"/>
            <w:vAlign w:val="center"/>
          </w:tcPr>
          <w:p>
            <w:pPr>
              <w:widowControl/>
              <w:snapToGrid w:val="0"/>
              <w:jc w:val="center"/>
              <w:rPr>
                <w:rFonts w:eastAsia="方正仿宋_GBK"/>
                <w:kern w:val="0"/>
                <w:sz w:val="24"/>
                <w:szCs w:val="22"/>
              </w:rPr>
            </w:pPr>
            <w:r>
              <w:rPr>
                <w:rFonts w:hint="eastAsia" w:eastAsia="方正仿宋_GBK"/>
                <w:kern w:val="0"/>
                <w:sz w:val="24"/>
                <w:szCs w:val="22"/>
              </w:rPr>
              <w:t>5.00</w:t>
            </w:r>
          </w:p>
        </w:tc>
      </w:tr>
    </w:tbl>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附件3-5</w:t>
      </w:r>
    </w:p>
    <w:tbl>
      <w:tblPr>
        <w:tblStyle w:val="19"/>
        <w:tblW w:w="13324" w:type="dxa"/>
        <w:jc w:val="center"/>
        <w:tblLayout w:type="autofit"/>
        <w:tblCellMar>
          <w:top w:w="0" w:type="dxa"/>
          <w:left w:w="108" w:type="dxa"/>
          <w:bottom w:w="0" w:type="dxa"/>
          <w:right w:w="108" w:type="dxa"/>
        </w:tblCellMar>
      </w:tblPr>
      <w:tblGrid>
        <w:gridCol w:w="1701"/>
        <w:gridCol w:w="7348"/>
        <w:gridCol w:w="1440"/>
        <w:gridCol w:w="1418"/>
        <w:gridCol w:w="1417"/>
      </w:tblGrid>
      <w:tr>
        <w:tblPrEx>
          <w:tblCellMar>
            <w:top w:w="0" w:type="dxa"/>
            <w:left w:w="108" w:type="dxa"/>
            <w:bottom w:w="0" w:type="dxa"/>
            <w:right w:w="108" w:type="dxa"/>
          </w:tblCellMar>
        </w:tblPrEx>
        <w:trPr>
          <w:trHeight w:val="450" w:hRule="atLeast"/>
          <w:jc w:val="center"/>
        </w:trPr>
        <w:tc>
          <w:tcPr>
            <w:tcW w:w="13324" w:type="dxa"/>
            <w:gridSpan w:val="5"/>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梁平区司法局政府性基金预算支出表</w:t>
            </w:r>
          </w:p>
        </w:tc>
      </w:tr>
      <w:tr>
        <w:tblPrEx>
          <w:tblCellMar>
            <w:top w:w="0" w:type="dxa"/>
            <w:left w:w="108" w:type="dxa"/>
            <w:bottom w:w="0" w:type="dxa"/>
            <w:right w:w="108" w:type="dxa"/>
          </w:tblCellMar>
        </w:tblPrEx>
        <w:trPr>
          <w:trHeight w:val="270" w:hRule="atLeast"/>
          <w:jc w:val="center"/>
        </w:trPr>
        <w:tc>
          <w:tcPr>
            <w:tcW w:w="13324" w:type="dxa"/>
            <w:gridSpan w:val="5"/>
            <w:tcBorders>
              <w:top w:val="nil"/>
              <w:left w:val="nil"/>
              <w:bottom w:val="nil"/>
            </w:tcBorders>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360" w:hRule="atLeast"/>
          <w:jc w:val="center"/>
        </w:trPr>
        <w:tc>
          <w:tcPr>
            <w:tcW w:w="17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73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4275" w:type="dxa"/>
            <w:gridSpan w:val="3"/>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本年政府性基金预算财政拨款支出</w:t>
            </w:r>
          </w:p>
        </w:tc>
      </w:tr>
      <w:tr>
        <w:tblPrEx>
          <w:tblCellMar>
            <w:top w:w="0" w:type="dxa"/>
            <w:left w:w="108" w:type="dxa"/>
            <w:bottom w:w="0" w:type="dxa"/>
            <w:right w:w="108" w:type="dxa"/>
          </w:tblCellMar>
        </w:tblPrEx>
        <w:trPr>
          <w:trHeight w:val="360"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7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4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41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734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7"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406" w:hRule="atLeast"/>
          <w:jc w:val="center"/>
        </w:trPr>
        <w:tc>
          <w:tcPr>
            <w:tcW w:w="1701" w:type="dxa"/>
            <w:tcBorders>
              <w:top w:val="nil"/>
              <w:left w:val="single" w:color="auto" w:sz="4" w:space="0"/>
              <w:bottom w:val="single" w:color="auto" w:sz="4" w:space="0"/>
              <w:right w:val="single" w:color="auto" w:sz="4" w:space="0"/>
            </w:tcBorders>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bl>
    <w:p>
      <w:pPr>
        <w:widowControl/>
        <w:snapToGrid w:val="0"/>
        <w:spacing w:line="560" w:lineRule="exact"/>
        <w:ind w:firstLine="240" w:firstLineChars="100"/>
        <w:jc w:val="left"/>
        <w:rPr>
          <w:rFonts w:eastAsia="方正仿宋_GBK"/>
          <w:kern w:val="0"/>
          <w:sz w:val="24"/>
        </w:rPr>
        <w:sectPr>
          <w:pgSz w:w="16838" w:h="11906" w:orient="landscape"/>
          <w:pgMar w:top="1361" w:right="1361" w:bottom="1361" w:left="1361" w:header="851" w:footer="850" w:gutter="0"/>
          <w:cols w:space="720" w:num="1"/>
          <w:docGrid w:linePitch="312" w:charSpace="0"/>
        </w:sectPr>
      </w:pPr>
      <w:r>
        <w:rPr>
          <w:rFonts w:eastAsia="方正仿宋_GBK"/>
          <w:kern w:val="0"/>
          <w:sz w:val="24"/>
        </w:rPr>
        <w:t>备注：本单位无政府性基金收支，故此表无数据。</w:t>
      </w:r>
    </w:p>
    <w:p>
      <w:pPr>
        <w:widowControl/>
        <w:snapToGrid w:val="0"/>
        <w:spacing w:line="560" w:lineRule="exact"/>
        <w:jc w:val="left"/>
        <w:rPr>
          <w:rFonts w:eastAsia="方正黑体_GBK"/>
          <w:kern w:val="0"/>
          <w:sz w:val="32"/>
          <w:szCs w:val="32"/>
        </w:rPr>
      </w:pPr>
      <w:r>
        <w:rPr>
          <w:rFonts w:eastAsia="方正黑体_GBK"/>
          <w:kern w:val="0"/>
          <w:sz w:val="32"/>
          <w:szCs w:val="32"/>
        </w:rPr>
        <w:t>附件3-6</w:t>
      </w:r>
    </w:p>
    <w:tbl>
      <w:tblPr>
        <w:tblStyle w:val="19"/>
        <w:tblW w:w="9513" w:type="dxa"/>
        <w:tblInd w:w="93" w:type="dxa"/>
        <w:tblLayout w:type="autofit"/>
        <w:tblCellMar>
          <w:top w:w="0" w:type="dxa"/>
          <w:left w:w="108" w:type="dxa"/>
          <w:bottom w:w="0" w:type="dxa"/>
          <w:right w:w="108" w:type="dxa"/>
        </w:tblCellMar>
      </w:tblPr>
      <w:tblGrid>
        <w:gridCol w:w="3532"/>
        <w:gridCol w:w="1445"/>
        <w:gridCol w:w="2976"/>
        <w:gridCol w:w="1560"/>
      </w:tblGrid>
      <w:tr>
        <w:tblPrEx>
          <w:tblCellMar>
            <w:top w:w="0" w:type="dxa"/>
            <w:left w:w="108" w:type="dxa"/>
            <w:bottom w:w="0" w:type="dxa"/>
            <w:right w:w="108" w:type="dxa"/>
          </w:tblCellMar>
        </w:tblPrEx>
        <w:trPr>
          <w:trHeight w:val="450" w:hRule="atLeast"/>
        </w:trPr>
        <w:tc>
          <w:tcPr>
            <w:tcW w:w="9513" w:type="dxa"/>
            <w:gridSpan w:val="4"/>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梁平区司法局部门收支总表</w:t>
            </w:r>
          </w:p>
        </w:tc>
      </w:tr>
      <w:tr>
        <w:tblPrEx>
          <w:tblCellMar>
            <w:top w:w="0" w:type="dxa"/>
            <w:left w:w="108" w:type="dxa"/>
            <w:bottom w:w="0" w:type="dxa"/>
            <w:right w:w="108" w:type="dxa"/>
          </w:tblCellMar>
        </w:tblPrEx>
        <w:trPr>
          <w:trHeight w:val="270" w:hRule="atLeast"/>
        </w:trPr>
        <w:tc>
          <w:tcPr>
            <w:tcW w:w="9513" w:type="dxa"/>
            <w:gridSpan w:val="4"/>
            <w:tcBorders>
              <w:top w:val="nil"/>
              <w:left w:val="nil"/>
              <w:bottom w:val="nil"/>
            </w:tcBorders>
            <w:noWrap/>
            <w:vAlign w:val="center"/>
          </w:tcPr>
          <w:p>
            <w:pPr>
              <w:widowControl/>
              <w:ind w:right="440" w:firstLine="2530" w:firstLineChars="115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10" w:hRule="atLeast"/>
        </w:trPr>
        <w:tc>
          <w:tcPr>
            <w:tcW w:w="49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4536"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44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56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一般公共预算</w:t>
            </w:r>
            <w:r>
              <w:rPr>
                <w:rFonts w:hint="eastAsia" w:eastAsia="方正仿宋_GBK"/>
                <w:color w:val="000000"/>
                <w:kern w:val="0"/>
                <w:sz w:val="22"/>
                <w:szCs w:val="22"/>
              </w:rPr>
              <w:t>拨</w:t>
            </w:r>
            <w:r>
              <w:rPr>
                <w:rFonts w:eastAsia="方正仿宋_GBK"/>
                <w:color w:val="000000"/>
                <w:kern w:val="0"/>
                <w:sz w:val="22"/>
                <w:szCs w:val="22"/>
              </w:rPr>
              <w:t>款收入</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2578.38</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公共安全支出</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2128.01</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政府性基金预算拨款收入</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社会保障和就业支出</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274.77</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国有资本经营预算拨款收入</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hint="eastAsia" w:eastAsia="方正仿宋_GBK"/>
                <w:kern w:val="0"/>
                <w:sz w:val="22"/>
                <w:szCs w:val="22"/>
              </w:rPr>
              <w:t>卫生</w:t>
            </w:r>
            <w:r>
              <w:rPr>
                <w:rFonts w:eastAsia="方正仿宋_GBK"/>
                <w:kern w:val="0"/>
                <w:sz w:val="22"/>
                <w:szCs w:val="22"/>
              </w:rPr>
              <w:t>健康支出</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67.63</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事业收入预算</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r>
              <w:rPr>
                <w:rFonts w:eastAsia="方正仿宋_GBK"/>
                <w:kern w:val="0"/>
                <w:sz w:val="22"/>
                <w:szCs w:val="22"/>
              </w:rPr>
              <w:t>住房保障支出</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108.06</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事业单位经营收入预算</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其他收入预算</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本年收入合计</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2578.38</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本年支出合计</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2578.47</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用事业基金弥补收支差额</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结转下年</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上年结转</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0.09</w:t>
            </w:r>
          </w:p>
        </w:tc>
        <w:tc>
          <w:tcPr>
            <w:tcW w:w="2976"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收入总计</w:t>
            </w:r>
          </w:p>
        </w:tc>
        <w:tc>
          <w:tcPr>
            <w:tcW w:w="1445"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2578.47</w:t>
            </w:r>
          </w:p>
        </w:tc>
        <w:tc>
          <w:tcPr>
            <w:tcW w:w="29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支出总计</w:t>
            </w:r>
          </w:p>
        </w:tc>
        <w:tc>
          <w:tcPr>
            <w:tcW w:w="1560" w:type="dxa"/>
            <w:tcBorders>
              <w:top w:val="nil"/>
              <w:left w:val="nil"/>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2578.47</w:t>
            </w:r>
          </w:p>
        </w:tc>
      </w:tr>
    </w:tbl>
    <w:p>
      <w:pPr>
        <w:widowControl/>
        <w:snapToGrid w:val="0"/>
        <w:spacing w:line="560" w:lineRule="exact"/>
        <w:jc w:val="left"/>
        <w:rPr>
          <w:rFonts w:eastAsia="方正黑体_GBK"/>
          <w:kern w:val="0"/>
          <w:sz w:val="32"/>
          <w:szCs w:val="32"/>
        </w:rPr>
        <w:sectPr>
          <w:pgSz w:w="11906" w:h="16838"/>
          <w:pgMar w:top="1361" w:right="1361" w:bottom="1361" w:left="1361" w:header="851" w:footer="850"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附件3-7</w:t>
      </w:r>
    </w:p>
    <w:tbl>
      <w:tblPr>
        <w:tblStyle w:val="19"/>
        <w:tblW w:w="14474" w:type="dxa"/>
        <w:tblInd w:w="93" w:type="dxa"/>
        <w:tblLayout w:type="autofit"/>
        <w:tblCellMar>
          <w:top w:w="0" w:type="dxa"/>
          <w:left w:w="108" w:type="dxa"/>
          <w:bottom w:w="0" w:type="dxa"/>
          <w:right w:w="108" w:type="dxa"/>
        </w:tblCellMar>
      </w:tblPr>
      <w:tblGrid>
        <w:gridCol w:w="1317"/>
        <w:gridCol w:w="2744"/>
        <w:gridCol w:w="1276"/>
        <w:gridCol w:w="851"/>
        <w:gridCol w:w="1275"/>
        <w:gridCol w:w="851"/>
        <w:gridCol w:w="1134"/>
        <w:gridCol w:w="992"/>
        <w:gridCol w:w="851"/>
        <w:gridCol w:w="1134"/>
        <w:gridCol w:w="850"/>
        <w:gridCol w:w="1276"/>
      </w:tblGrid>
      <w:tr>
        <w:tblPrEx>
          <w:tblCellMar>
            <w:top w:w="0" w:type="dxa"/>
            <w:left w:w="108" w:type="dxa"/>
            <w:bottom w:w="0" w:type="dxa"/>
            <w:right w:w="108" w:type="dxa"/>
          </w:tblCellMar>
        </w:tblPrEx>
        <w:trPr>
          <w:trHeight w:val="450" w:hRule="atLeast"/>
        </w:trPr>
        <w:tc>
          <w:tcPr>
            <w:tcW w:w="14474" w:type="dxa"/>
            <w:gridSpan w:val="12"/>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梁平区司法局部门收入总表</w:t>
            </w:r>
          </w:p>
        </w:tc>
      </w:tr>
      <w:tr>
        <w:tblPrEx>
          <w:tblCellMar>
            <w:top w:w="0" w:type="dxa"/>
            <w:left w:w="108" w:type="dxa"/>
            <w:bottom w:w="0" w:type="dxa"/>
            <w:right w:w="108" w:type="dxa"/>
          </w:tblCellMar>
        </w:tblPrEx>
        <w:trPr>
          <w:trHeight w:val="270" w:hRule="atLeast"/>
        </w:trPr>
        <w:tc>
          <w:tcPr>
            <w:tcW w:w="14474" w:type="dxa"/>
            <w:gridSpan w:val="12"/>
            <w:tcBorders>
              <w:top w:val="nil"/>
              <w:left w:val="nil"/>
              <w:bottom w:val="nil"/>
              <w:right w:val="nil"/>
            </w:tcBorders>
            <w:noWrap/>
            <w:vAlign w:val="center"/>
          </w:tcPr>
          <w:p>
            <w:pPr>
              <w:widowControl/>
              <w:ind w:right="440" w:firstLine="880" w:firstLineChars="40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w:t>
            </w:r>
          </w:p>
        </w:tc>
        <w:tc>
          <w:tcPr>
            <w:tcW w:w="12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8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上年</w:t>
            </w:r>
          </w:p>
          <w:p>
            <w:pPr>
              <w:widowControl/>
              <w:jc w:val="center"/>
              <w:rPr>
                <w:rFonts w:eastAsia="方正仿宋_GBK"/>
                <w:color w:val="000000"/>
                <w:kern w:val="0"/>
                <w:sz w:val="22"/>
                <w:szCs w:val="22"/>
              </w:rPr>
            </w:pPr>
            <w:r>
              <w:rPr>
                <w:rFonts w:eastAsia="方正仿宋_GBK"/>
                <w:color w:val="000000"/>
                <w:kern w:val="0"/>
                <w:sz w:val="22"/>
                <w:szCs w:val="22"/>
              </w:rPr>
              <w:t>结转</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一般公共预算拨款收入</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政府性基金预算拨款收入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国有资本经营预算拨款收入</w:t>
            </w:r>
          </w:p>
        </w:tc>
        <w:tc>
          <w:tcPr>
            <w:tcW w:w="1843" w:type="dxa"/>
            <w:gridSpan w:val="2"/>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事业收入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事业单位经营收入预算</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其他收入预算</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用事业基金弥补收支差额</w:t>
            </w:r>
          </w:p>
        </w:tc>
      </w:tr>
      <w:tr>
        <w:tblPrEx>
          <w:tblCellMar>
            <w:top w:w="0" w:type="dxa"/>
            <w:left w:w="108" w:type="dxa"/>
            <w:bottom w:w="0" w:type="dxa"/>
            <w:right w:w="108" w:type="dxa"/>
          </w:tblCellMar>
        </w:tblPrEx>
        <w:trPr>
          <w:trHeight w:val="54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274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非教育收费收入预算</w:t>
            </w:r>
          </w:p>
        </w:tc>
        <w:tc>
          <w:tcPr>
            <w:tcW w:w="851" w:type="dxa"/>
            <w:tcBorders>
              <w:top w:val="nil"/>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教育收费预算收入</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74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2578.47</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0.09</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2578.38</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2744"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2128.01</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0.09</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2127.92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2128.01</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0.09</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2127.92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行政运行</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1185.66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1185.66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40604</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基层</w:t>
            </w:r>
            <w:r>
              <w:rPr>
                <w:rFonts w:eastAsia="方正仿宋_GBK"/>
                <w:kern w:val="0"/>
                <w:sz w:val="20"/>
                <w:szCs w:val="20"/>
              </w:rPr>
              <w:t>司法业务</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10.07</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0.07</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40605</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普法</w:t>
            </w:r>
            <w:r>
              <w:rPr>
                <w:rFonts w:eastAsia="方正仿宋_GBK"/>
                <w:kern w:val="0"/>
                <w:sz w:val="20"/>
                <w:szCs w:val="20"/>
              </w:rPr>
              <w:t>宣传</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65.00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65.00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40607</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公共</w:t>
            </w:r>
            <w:r>
              <w:rPr>
                <w:rFonts w:eastAsia="方正仿宋_GBK"/>
                <w:kern w:val="0"/>
                <w:sz w:val="20"/>
                <w:szCs w:val="20"/>
              </w:rPr>
              <w:t>法律服务</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470.00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470.00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40610</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社区矫正</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136.00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136.00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40612</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法治建设</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40650</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运行</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191.28</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0.02</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191.26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2040699</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其他</w:t>
            </w:r>
            <w:r>
              <w:rPr>
                <w:rFonts w:eastAsia="方正仿宋_GBK"/>
                <w:kern w:val="0"/>
                <w:sz w:val="20"/>
                <w:szCs w:val="20"/>
              </w:rPr>
              <w:t>司法支出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30.00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30.00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274.77</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274.77</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265.95</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265.95</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单位离退休</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74.48</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74.48</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2080502</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事业</w:t>
            </w:r>
            <w:r>
              <w:rPr>
                <w:rFonts w:eastAsia="方正仿宋_GBK"/>
                <w:bCs/>
                <w:kern w:val="0"/>
                <w:sz w:val="20"/>
                <w:szCs w:val="20"/>
              </w:rPr>
              <w:t>单位离退休</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5.32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5.32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124.10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124.10</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62.05</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62.05</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抚恤</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8.82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8.82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死亡</w:t>
            </w:r>
            <w:r>
              <w:rPr>
                <w:rFonts w:eastAsia="方正仿宋_GBK"/>
                <w:kern w:val="0"/>
                <w:sz w:val="20"/>
                <w:szCs w:val="20"/>
              </w:rPr>
              <w:t>抚恤</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8.82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8.82</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67.63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67.63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67.63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67.63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单位医疗</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42.73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42.73</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2101102</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单位医疗</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7.86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7.86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17.04</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17.04</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2744"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2744"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2744"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85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黑体_GBK"/>
          <w:kern w:val="0"/>
          <w:sz w:val="32"/>
          <w:szCs w:val="32"/>
        </w:rPr>
        <w:sectPr>
          <w:pgSz w:w="16838" w:h="11906" w:orient="landscape"/>
          <w:pgMar w:top="1361" w:right="1361" w:bottom="1361" w:left="1361" w:header="851" w:footer="850" w:gutter="0"/>
          <w:cols w:space="720" w:num="1"/>
          <w:docGrid w:linePitch="312" w:charSpace="0"/>
        </w:sectPr>
      </w:pPr>
    </w:p>
    <w:p>
      <w:pPr>
        <w:widowControl/>
        <w:snapToGrid w:val="0"/>
        <w:spacing w:line="560" w:lineRule="exact"/>
        <w:jc w:val="left"/>
        <w:rPr>
          <w:rFonts w:eastAsia="方正黑体_GBK"/>
          <w:kern w:val="0"/>
          <w:sz w:val="32"/>
          <w:szCs w:val="32"/>
        </w:rPr>
      </w:pPr>
      <w:r>
        <w:rPr>
          <w:rFonts w:eastAsia="方正黑体_GBK"/>
          <w:kern w:val="0"/>
          <w:sz w:val="32"/>
          <w:szCs w:val="32"/>
        </w:rPr>
        <w:t>附件3-8</w:t>
      </w:r>
    </w:p>
    <w:tbl>
      <w:tblPr>
        <w:tblStyle w:val="19"/>
        <w:tblW w:w="14190" w:type="dxa"/>
        <w:tblInd w:w="93" w:type="dxa"/>
        <w:tblLayout w:type="autofit"/>
        <w:tblCellMar>
          <w:top w:w="0" w:type="dxa"/>
          <w:left w:w="108" w:type="dxa"/>
          <w:bottom w:w="0" w:type="dxa"/>
          <w:right w:w="108" w:type="dxa"/>
        </w:tblCellMar>
      </w:tblPr>
      <w:tblGrid>
        <w:gridCol w:w="1404"/>
        <w:gridCol w:w="4057"/>
        <w:gridCol w:w="1358"/>
        <w:gridCol w:w="1276"/>
        <w:gridCol w:w="1276"/>
        <w:gridCol w:w="1706"/>
        <w:gridCol w:w="1473"/>
        <w:gridCol w:w="1640"/>
      </w:tblGrid>
      <w:tr>
        <w:tblPrEx>
          <w:tblCellMar>
            <w:top w:w="0" w:type="dxa"/>
            <w:left w:w="108" w:type="dxa"/>
            <w:bottom w:w="0" w:type="dxa"/>
            <w:right w:w="108" w:type="dxa"/>
          </w:tblCellMar>
        </w:tblPrEx>
        <w:trPr>
          <w:trHeight w:val="450" w:hRule="atLeast"/>
        </w:trPr>
        <w:tc>
          <w:tcPr>
            <w:tcW w:w="14190" w:type="dxa"/>
            <w:gridSpan w:val="8"/>
            <w:tcBorders>
              <w:top w:val="nil"/>
              <w:left w:val="nil"/>
              <w:bottom w:val="nil"/>
            </w:tcBorders>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梁平区司法局部门支出总表</w:t>
            </w:r>
          </w:p>
        </w:tc>
      </w:tr>
      <w:tr>
        <w:tblPrEx>
          <w:tblCellMar>
            <w:top w:w="0" w:type="dxa"/>
            <w:left w:w="108" w:type="dxa"/>
            <w:bottom w:w="0" w:type="dxa"/>
            <w:right w:w="108" w:type="dxa"/>
          </w:tblCellMar>
        </w:tblPrEx>
        <w:trPr>
          <w:trHeight w:val="270" w:hRule="atLeast"/>
        </w:trPr>
        <w:tc>
          <w:tcPr>
            <w:tcW w:w="14190" w:type="dxa"/>
            <w:gridSpan w:val="8"/>
            <w:tcBorders>
              <w:top w:val="nil"/>
              <w:left w:val="nil"/>
              <w:bottom w:val="nil"/>
              <w:right w:val="nil"/>
            </w:tcBorders>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4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4057"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上缴上级支出</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w:t>
            </w:r>
          </w:p>
          <w:p>
            <w:pPr>
              <w:widowControl/>
              <w:jc w:val="center"/>
              <w:rPr>
                <w:rFonts w:eastAsia="方正仿宋_GBK"/>
                <w:color w:val="000000"/>
                <w:kern w:val="0"/>
                <w:sz w:val="22"/>
                <w:szCs w:val="22"/>
              </w:rPr>
            </w:pPr>
            <w:r>
              <w:rPr>
                <w:rFonts w:eastAsia="方正仿宋_GBK"/>
                <w:color w:val="000000"/>
                <w:kern w:val="0"/>
                <w:sz w:val="22"/>
                <w:szCs w:val="22"/>
              </w:rPr>
              <w:t>经营支出</w:t>
            </w:r>
          </w:p>
        </w:tc>
        <w:tc>
          <w:tcPr>
            <w:tcW w:w="1640" w:type="dxa"/>
            <w:tcBorders>
              <w:top w:val="single" w:color="auto" w:sz="4" w:space="0"/>
              <w:left w:val="nil"/>
              <w:bottom w:val="single" w:color="auto" w:sz="4" w:space="0"/>
              <w:right w:val="single" w:color="auto" w:sz="4" w:space="0"/>
            </w:tcBorders>
            <w:vAlign w:val="center"/>
          </w:tcPr>
          <w:p>
            <w:pPr>
              <w:widowControl/>
              <w:jc w:val="center"/>
              <w:rPr>
                <w:rFonts w:eastAsia="方正仿宋_GBK"/>
                <w:color w:val="000000"/>
                <w:kern w:val="0"/>
                <w:sz w:val="22"/>
                <w:szCs w:val="22"/>
              </w:rPr>
            </w:pPr>
            <w:r>
              <w:rPr>
                <w:rFonts w:eastAsia="方正仿宋_GBK"/>
                <w:color w:val="000000"/>
                <w:kern w:val="0"/>
                <w:sz w:val="22"/>
                <w:szCs w:val="22"/>
              </w:rPr>
              <w:t>对下级单</w:t>
            </w:r>
          </w:p>
          <w:p>
            <w:pPr>
              <w:widowControl/>
              <w:jc w:val="center"/>
              <w:rPr>
                <w:rFonts w:eastAsia="方正仿宋_GBK"/>
                <w:color w:val="000000"/>
                <w:kern w:val="0"/>
                <w:sz w:val="22"/>
                <w:szCs w:val="22"/>
              </w:rPr>
            </w:pPr>
            <w:r>
              <w:rPr>
                <w:rFonts w:eastAsia="方正仿宋_GBK"/>
                <w:color w:val="000000"/>
                <w:kern w:val="0"/>
                <w:sz w:val="22"/>
                <w:szCs w:val="22"/>
              </w:rPr>
              <w:t>位补助支出</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4057"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2578.47</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1827.40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751.07</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20</w:t>
            </w:r>
            <w:r>
              <w:rPr>
                <w:rFonts w:hint="eastAsia" w:eastAsia="方正仿宋_GBK"/>
                <w:kern w:val="0"/>
                <w:sz w:val="20"/>
                <w:szCs w:val="20"/>
              </w:rPr>
              <w:t>4</w:t>
            </w:r>
          </w:p>
        </w:tc>
        <w:tc>
          <w:tcPr>
            <w:tcW w:w="4057" w:type="dxa"/>
            <w:tcBorders>
              <w:top w:val="nil"/>
              <w:left w:val="nil"/>
              <w:bottom w:val="single" w:color="auto" w:sz="4" w:space="0"/>
              <w:right w:val="single" w:color="auto" w:sz="4" w:space="0"/>
            </w:tcBorders>
            <w:noWrap/>
            <w:vAlign w:val="center"/>
          </w:tcPr>
          <w:p>
            <w:pPr>
              <w:widowControl/>
              <w:rPr>
                <w:rFonts w:eastAsia="方正仿宋_GBK"/>
                <w:bCs/>
                <w:kern w:val="0"/>
                <w:sz w:val="20"/>
                <w:szCs w:val="20"/>
              </w:rPr>
            </w:pPr>
            <w:r>
              <w:rPr>
                <w:rFonts w:hint="eastAsia" w:eastAsia="方正仿宋_GBK"/>
                <w:bCs/>
                <w:kern w:val="0"/>
                <w:sz w:val="20"/>
                <w:szCs w:val="20"/>
              </w:rPr>
              <w:t>公共安全</w:t>
            </w:r>
            <w:r>
              <w:rPr>
                <w:rFonts w:eastAsia="方正仿宋_GBK"/>
                <w:bCs/>
                <w:kern w:val="0"/>
                <w:sz w:val="20"/>
                <w:szCs w:val="20"/>
              </w:rPr>
              <w:t>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2128.01</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1376.94</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751.07</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w:t>
            </w:r>
          </w:p>
        </w:tc>
        <w:tc>
          <w:tcPr>
            <w:tcW w:w="4057" w:type="dxa"/>
            <w:tcBorders>
              <w:top w:val="nil"/>
              <w:left w:val="nil"/>
              <w:bottom w:val="single" w:color="auto" w:sz="4" w:space="0"/>
              <w:right w:val="single" w:color="auto" w:sz="4" w:space="0"/>
            </w:tcBorders>
            <w:noWrap/>
            <w:vAlign w:val="center"/>
          </w:tcPr>
          <w:p>
            <w:pPr>
              <w:widowControl/>
              <w:ind w:firstLine="200" w:firstLineChars="100"/>
              <w:rPr>
                <w:rFonts w:eastAsia="方正仿宋_GBK"/>
                <w:bCs/>
                <w:kern w:val="0"/>
                <w:sz w:val="20"/>
                <w:szCs w:val="20"/>
              </w:rPr>
            </w:pPr>
            <w:r>
              <w:rPr>
                <w:rFonts w:hint="eastAsia" w:eastAsia="方正仿宋_GBK"/>
                <w:bCs/>
                <w:kern w:val="0"/>
                <w:sz w:val="20"/>
                <w:szCs w:val="20"/>
              </w:rPr>
              <w:t>司法</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2128.01</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1376.94</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751.07</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eastAsia="方正仿宋_GBK"/>
                <w:kern w:val="0"/>
                <w:sz w:val="20"/>
                <w:szCs w:val="20"/>
              </w:rPr>
              <w:t>20</w:t>
            </w:r>
            <w:r>
              <w:rPr>
                <w:rFonts w:hint="eastAsia" w:eastAsia="方正仿宋_GBK"/>
                <w:kern w:val="0"/>
                <w:sz w:val="20"/>
                <w:szCs w:val="20"/>
              </w:rPr>
              <w:t>40601</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行政运行</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1185.66</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1185.66</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40604</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基层</w:t>
            </w:r>
            <w:r>
              <w:rPr>
                <w:rFonts w:eastAsia="方正仿宋_GBK"/>
                <w:kern w:val="0"/>
                <w:sz w:val="20"/>
                <w:szCs w:val="20"/>
              </w:rPr>
              <w:t>司法业务</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10.07</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10.07</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40605</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普法</w:t>
            </w:r>
            <w:r>
              <w:rPr>
                <w:rFonts w:eastAsia="方正仿宋_GBK"/>
                <w:kern w:val="0"/>
                <w:sz w:val="20"/>
                <w:szCs w:val="20"/>
              </w:rPr>
              <w:t>宣传</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65.00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65.00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40607</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公共</w:t>
            </w:r>
            <w:r>
              <w:rPr>
                <w:rFonts w:eastAsia="方正仿宋_GBK"/>
                <w:kern w:val="0"/>
                <w:sz w:val="20"/>
                <w:szCs w:val="20"/>
              </w:rPr>
              <w:t>法律服务</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470.00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470.00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40610</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社区矫正</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136.00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136.00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40612</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法治建设</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40.00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40.00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w:t>
            </w:r>
            <w:r>
              <w:rPr>
                <w:rFonts w:eastAsia="方正仿宋_GBK"/>
                <w:kern w:val="0"/>
                <w:sz w:val="20"/>
                <w:szCs w:val="20"/>
              </w:rPr>
              <w:t>20</w:t>
            </w:r>
            <w:r>
              <w:rPr>
                <w:rFonts w:hint="eastAsia" w:eastAsia="方正仿宋_GBK"/>
                <w:kern w:val="0"/>
                <w:sz w:val="20"/>
                <w:szCs w:val="20"/>
              </w:rPr>
              <w:t>40650</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运行</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191.28</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191.28</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2040699</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其他</w:t>
            </w:r>
            <w:r>
              <w:rPr>
                <w:rFonts w:eastAsia="方正仿宋_GBK"/>
                <w:kern w:val="0"/>
                <w:sz w:val="20"/>
                <w:szCs w:val="20"/>
              </w:rPr>
              <w:t>司法支出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30.00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30.00</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208</w:t>
            </w:r>
          </w:p>
        </w:tc>
        <w:tc>
          <w:tcPr>
            <w:tcW w:w="4057" w:type="dxa"/>
            <w:tcBorders>
              <w:top w:val="nil"/>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社会</w:t>
            </w:r>
            <w:r>
              <w:rPr>
                <w:rFonts w:eastAsia="方正仿宋_GBK"/>
                <w:kern w:val="0"/>
                <w:sz w:val="20"/>
                <w:szCs w:val="20"/>
              </w:rPr>
              <w:t>保障和就业支出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274.77</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274.77</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20805</w:t>
            </w:r>
          </w:p>
        </w:tc>
        <w:tc>
          <w:tcPr>
            <w:tcW w:w="4057"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事业单位养老支出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265.95</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265.95</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2080501</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单位离退休</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74.48</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74.48</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2080502</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事业</w:t>
            </w:r>
            <w:r>
              <w:rPr>
                <w:rFonts w:eastAsia="方正仿宋_GBK"/>
                <w:bCs/>
                <w:kern w:val="0"/>
                <w:sz w:val="20"/>
                <w:szCs w:val="20"/>
              </w:rPr>
              <w:t>单位离退休</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5.32</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5.32</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2080505</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机关事业单位基本养老</w:t>
            </w:r>
            <w:r>
              <w:rPr>
                <w:rFonts w:eastAsia="方正仿宋_GBK"/>
                <w:kern w:val="0"/>
                <w:sz w:val="20"/>
                <w:szCs w:val="20"/>
              </w:rPr>
              <w:t>保险缴费支出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124.10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124.10</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2080506</w:t>
            </w:r>
          </w:p>
        </w:tc>
        <w:tc>
          <w:tcPr>
            <w:tcW w:w="4057" w:type="dxa"/>
            <w:tcBorders>
              <w:top w:val="nil"/>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eastAsia="方正仿宋_GBK"/>
                <w:kern w:val="0"/>
                <w:sz w:val="20"/>
                <w:szCs w:val="20"/>
              </w:rPr>
              <w:t>机关事业单位职业年金缴费支出</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62.05</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62.05</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w:t>
            </w:r>
          </w:p>
        </w:tc>
        <w:tc>
          <w:tcPr>
            <w:tcW w:w="4057" w:type="dxa"/>
            <w:tcBorders>
              <w:top w:val="nil"/>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抚恤</w:t>
            </w:r>
          </w:p>
        </w:tc>
        <w:tc>
          <w:tcPr>
            <w:tcW w:w="1358"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8.82</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r>
              <w:rPr>
                <w:rFonts w:hint="eastAsia" w:eastAsia="方正仿宋_GBK"/>
                <w:color w:val="000000"/>
                <w:kern w:val="0"/>
                <w:sz w:val="22"/>
                <w:szCs w:val="22"/>
              </w:rPr>
              <w:t>8.82</w:t>
            </w:r>
          </w:p>
        </w:tc>
        <w:tc>
          <w:tcPr>
            <w:tcW w:w="127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706"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2080801</w:t>
            </w:r>
          </w:p>
        </w:tc>
        <w:tc>
          <w:tcPr>
            <w:tcW w:w="4057"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死亡</w:t>
            </w:r>
            <w:r>
              <w:rPr>
                <w:rFonts w:eastAsia="方正仿宋_GBK"/>
                <w:kern w:val="0"/>
                <w:sz w:val="20"/>
                <w:szCs w:val="20"/>
              </w:rPr>
              <w:t>抚恤</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 xml:space="preserve">  8.82</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 xml:space="preserve">  8.82</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210</w:t>
            </w:r>
          </w:p>
        </w:tc>
        <w:tc>
          <w:tcPr>
            <w:tcW w:w="4057" w:type="dxa"/>
            <w:tcBorders>
              <w:top w:val="single" w:color="auto" w:sz="4" w:space="0"/>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卫生</w:t>
            </w:r>
            <w:r>
              <w:rPr>
                <w:rFonts w:eastAsia="方正仿宋_GBK"/>
                <w:kern w:val="0"/>
                <w:sz w:val="20"/>
                <w:szCs w:val="20"/>
              </w:rPr>
              <w:t>健康支出</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67.63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67.63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w:t>
            </w:r>
          </w:p>
        </w:tc>
        <w:tc>
          <w:tcPr>
            <w:tcW w:w="4057" w:type="dxa"/>
            <w:tcBorders>
              <w:top w:val="single" w:color="auto" w:sz="4" w:space="0"/>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事业单位医疗</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67.63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67.63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2101101</w:t>
            </w:r>
          </w:p>
        </w:tc>
        <w:tc>
          <w:tcPr>
            <w:tcW w:w="4057"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行政</w:t>
            </w:r>
            <w:r>
              <w:rPr>
                <w:rFonts w:eastAsia="方正仿宋_GBK"/>
                <w:kern w:val="0"/>
                <w:sz w:val="20"/>
                <w:szCs w:val="20"/>
              </w:rPr>
              <w:t>单位医疗</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42.73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42.73</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2101102</w:t>
            </w:r>
          </w:p>
        </w:tc>
        <w:tc>
          <w:tcPr>
            <w:tcW w:w="4057"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事业</w:t>
            </w:r>
            <w:r>
              <w:rPr>
                <w:rFonts w:eastAsia="方正仿宋_GBK"/>
                <w:kern w:val="0"/>
                <w:sz w:val="20"/>
                <w:szCs w:val="20"/>
              </w:rPr>
              <w:t>单位医疗</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7.86</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7.86</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2101199</w:t>
            </w:r>
          </w:p>
        </w:tc>
        <w:tc>
          <w:tcPr>
            <w:tcW w:w="4057"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bCs/>
                <w:kern w:val="0"/>
                <w:sz w:val="20"/>
                <w:szCs w:val="20"/>
              </w:rPr>
            </w:pPr>
            <w:r>
              <w:rPr>
                <w:rFonts w:hint="eastAsia" w:eastAsia="方正仿宋_GBK"/>
                <w:bCs/>
                <w:kern w:val="0"/>
                <w:sz w:val="20"/>
                <w:szCs w:val="20"/>
              </w:rPr>
              <w:t>其他</w:t>
            </w:r>
            <w:r>
              <w:rPr>
                <w:rFonts w:eastAsia="方正仿宋_GBK"/>
                <w:bCs/>
                <w:kern w:val="0"/>
                <w:sz w:val="20"/>
                <w:szCs w:val="20"/>
              </w:rPr>
              <w:t>行政事业单位医疗支出</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17.04</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17.04</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rPr>
                <w:rFonts w:eastAsia="方正仿宋_GBK"/>
                <w:kern w:val="0"/>
                <w:sz w:val="20"/>
                <w:szCs w:val="20"/>
              </w:rPr>
            </w:pPr>
            <w:r>
              <w:rPr>
                <w:rFonts w:eastAsia="方正仿宋_GBK"/>
                <w:kern w:val="0"/>
                <w:sz w:val="20"/>
                <w:szCs w:val="20"/>
              </w:rPr>
              <w:t>2</w:t>
            </w:r>
            <w:r>
              <w:rPr>
                <w:rFonts w:hint="eastAsia" w:eastAsia="方正仿宋_GBK"/>
                <w:kern w:val="0"/>
                <w:sz w:val="20"/>
                <w:szCs w:val="20"/>
              </w:rPr>
              <w:t>21</w:t>
            </w:r>
          </w:p>
        </w:tc>
        <w:tc>
          <w:tcPr>
            <w:tcW w:w="4057" w:type="dxa"/>
            <w:tcBorders>
              <w:top w:val="single" w:color="auto" w:sz="4" w:space="0"/>
              <w:left w:val="nil"/>
              <w:bottom w:val="single" w:color="auto" w:sz="4" w:space="0"/>
              <w:right w:val="single" w:color="auto" w:sz="4" w:space="0"/>
            </w:tcBorders>
            <w:noWrap/>
            <w:vAlign w:val="center"/>
          </w:tcPr>
          <w:p>
            <w:pPr>
              <w:widowControl/>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保障支出</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22102</w:t>
            </w:r>
          </w:p>
        </w:tc>
        <w:tc>
          <w:tcPr>
            <w:tcW w:w="4057" w:type="dxa"/>
            <w:tcBorders>
              <w:top w:val="single" w:color="auto" w:sz="4" w:space="0"/>
              <w:left w:val="nil"/>
              <w:bottom w:val="single" w:color="auto" w:sz="4" w:space="0"/>
              <w:right w:val="single" w:color="auto" w:sz="4" w:space="0"/>
            </w:tcBorders>
            <w:noWrap/>
            <w:vAlign w:val="center"/>
          </w:tcPr>
          <w:p>
            <w:pPr>
              <w:widowControl/>
              <w:ind w:firstLine="200" w:firstLineChars="1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改革支出</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0"/>
                <w:szCs w:val="20"/>
              </w:rPr>
            </w:pPr>
            <w:r>
              <w:rPr>
                <w:rFonts w:hint="eastAsia" w:eastAsia="方正仿宋_GBK"/>
                <w:kern w:val="0"/>
                <w:sz w:val="20"/>
                <w:szCs w:val="20"/>
              </w:rPr>
              <w:t xml:space="preserve">  2210201</w:t>
            </w:r>
          </w:p>
        </w:tc>
        <w:tc>
          <w:tcPr>
            <w:tcW w:w="4057" w:type="dxa"/>
            <w:tcBorders>
              <w:top w:val="single" w:color="auto" w:sz="4" w:space="0"/>
              <w:left w:val="nil"/>
              <w:bottom w:val="single" w:color="auto" w:sz="4" w:space="0"/>
              <w:right w:val="single" w:color="auto" w:sz="4" w:space="0"/>
            </w:tcBorders>
            <w:noWrap/>
            <w:vAlign w:val="center"/>
          </w:tcPr>
          <w:p>
            <w:pPr>
              <w:widowControl/>
              <w:ind w:firstLine="400" w:firstLineChars="200"/>
              <w:rPr>
                <w:rFonts w:eastAsia="方正仿宋_GBK"/>
                <w:kern w:val="0"/>
                <w:sz w:val="20"/>
                <w:szCs w:val="20"/>
              </w:rPr>
            </w:pPr>
            <w:r>
              <w:rPr>
                <w:rFonts w:hint="eastAsia" w:eastAsia="方正仿宋_GBK"/>
                <w:kern w:val="0"/>
                <w:sz w:val="20"/>
                <w:szCs w:val="20"/>
              </w:rPr>
              <w:t>住房</w:t>
            </w:r>
            <w:r>
              <w:rPr>
                <w:rFonts w:eastAsia="方正仿宋_GBK"/>
                <w:kern w:val="0"/>
                <w:sz w:val="20"/>
                <w:szCs w:val="20"/>
              </w:rPr>
              <w:t>公积金</w:t>
            </w:r>
          </w:p>
        </w:tc>
        <w:tc>
          <w:tcPr>
            <w:tcW w:w="1358"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r>
              <w:rPr>
                <w:rFonts w:hint="eastAsia" w:eastAsia="方正仿宋_GBK"/>
                <w:color w:val="000000"/>
                <w:kern w:val="0"/>
                <w:sz w:val="22"/>
                <w:szCs w:val="22"/>
              </w:rPr>
              <w:t>108.06</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706"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黑体_GBK"/>
          <w:kern w:val="0"/>
          <w:sz w:val="32"/>
          <w:szCs w:val="32"/>
        </w:rPr>
      </w:pPr>
      <w:r>
        <w:rPr>
          <w:rFonts w:eastAsia="方正黑体_GBK"/>
          <w:kern w:val="0"/>
          <w:sz w:val="32"/>
          <w:szCs w:val="32"/>
        </w:rPr>
        <w:t>附件3-9</w:t>
      </w:r>
    </w:p>
    <w:tbl>
      <w:tblPr>
        <w:tblStyle w:val="19"/>
        <w:tblW w:w="14459" w:type="dxa"/>
        <w:tblInd w:w="-176" w:type="dxa"/>
        <w:tblLayout w:type="fixed"/>
        <w:tblCellMar>
          <w:top w:w="0" w:type="dxa"/>
          <w:left w:w="108" w:type="dxa"/>
          <w:bottom w:w="0" w:type="dxa"/>
          <w:right w:w="108" w:type="dxa"/>
        </w:tblCellMar>
      </w:tblPr>
      <w:tblGrid>
        <w:gridCol w:w="1702"/>
        <w:gridCol w:w="1701"/>
        <w:gridCol w:w="1126"/>
        <w:gridCol w:w="1200"/>
        <w:gridCol w:w="1340"/>
        <w:gridCol w:w="1579"/>
        <w:gridCol w:w="1281"/>
        <w:gridCol w:w="1080"/>
        <w:gridCol w:w="1182"/>
        <w:gridCol w:w="993"/>
        <w:gridCol w:w="1275"/>
      </w:tblGrid>
      <w:tr>
        <w:tblPrEx>
          <w:tblCellMar>
            <w:top w:w="0" w:type="dxa"/>
            <w:left w:w="108" w:type="dxa"/>
            <w:bottom w:w="0" w:type="dxa"/>
            <w:right w:w="108" w:type="dxa"/>
          </w:tblCellMar>
        </w:tblPrEx>
        <w:trPr>
          <w:trHeight w:val="810" w:hRule="atLeast"/>
        </w:trPr>
        <w:tc>
          <w:tcPr>
            <w:tcW w:w="14459" w:type="dxa"/>
            <w:gridSpan w:val="11"/>
            <w:tcBorders>
              <w:top w:val="nil"/>
              <w:left w:val="nil"/>
              <w:bottom w:val="nil"/>
              <w:right w:val="nil"/>
            </w:tcBorders>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重庆市</w:t>
            </w:r>
            <w:r>
              <w:rPr>
                <w:rFonts w:eastAsia="方正小标宋_GBK"/>
                <w:bCs/>
                <w:color w:val="000000"/>
                <w:kern w:val="0"/>
                <w:sz w:val="36"/>
                <w:szCs w:val="36"/>
              </w:rPr>
              <w:t>梁平区司法局政府采购预算明细表</w:t>
            </w:r>
          </w:p>
        </w:tc>
      </w:tr>
      <w:tr>
        <w:tblPrEx>
          <w:tblCellMar>
            <w:top w:w="0" w:type="dxa"/>
            <w:left w:w="108" w:type="dxa"/>
            <w:bottom w:w="0" w:type="dxa"/>
            <w:right w:w="108" w:type="dxa"/>
          </w:tblCellMar>
        </w:tblPrEx>
        <w:trPr>
          <w:trHeight w:val="435" w:hRule="atLeast"/>
        </w:trPr>
        <w:tc>
          <w:tcPr>
            <w:tcW w:w="1702" w:type="dxa"/>
            <w:tcBorders>
              <w:top w:val="nil"/>
              <w:left w:val="nil"/>
              <w:bottom w:val="nil"/>
              <w:right w:val="nil"/>
            </w:tcBorders>
            <w:vAlign w:val="center"/>
          </w:tcPr>
          <w:p>
            <w:pPr>
              <w:widowControl/>
              <w:jc w:val="left"/>
              <w:rPr>
                <w:color w:val="000000"/>
                <w:kern w:val="0"/>
                <w:sz w:val="18"/>
                <w:szCs w:val="18"/>
              </w:rPr>
            </w:pPr>
          </w:p>
        </w:tc>
        <w:tc>
          <w:tcPr>
            <w:tcW w:w="1701" w:type="dxa"/>
            <w:tcBorders>
              <w:top w:val="nil"/>
              <w:left w:val="nil"/>
              <w:bottom w:val="nil"/>
              <w:right w:val="nil"/>
            </w:tcBorders>
            <w:vAlign w:val="center"/>
          </w:tcPr>
          <w:p>
            <w:pPr>
              <w:widowControl/>
              <w:jc w:val="left"/>
              <w:rPr>
                <w:color w:val="000000"/>
                <w:kern w:val="0"/>
                <w:sz w:val="18"/>
                <w:szCs w:val="18"/>
              </w:rPr>
            </w:pPr>
          </w:p>
        </w:tc>
        <w:tc>
          <w:tcPr>
            <w:tcW w:w="1126" w:type="dxa"/>
            <w:tcBorders>
              <w:top w:val="nil"/>
              <w:left w:val="nil"/>
              <w:bottom w:val="nil"/>
              <w:right w:val="nil"/>
            </w:tcBorders>
            <w:vAlign w:val="center"/>
          </w:tcPr>
          <w:p>
            <w:pPr>
              <w:widowControl/>
              <w:jc w:val="left"/>
              <w:rPr>
                <w:color w:val="000000"/>
                <w:kern w:val="0"/>
                <w:sz w:val="18"/>
                <w:szCs w:val="18"/>
              </w:rPr>
            </w:pPr>
          </w:p>
        </w:tc>
        <w:tc>
          <w:tcPr>
            <w:tcW w:w="1200" w:type="dxa"/>
            <w:tcBorders>
              <w:top w:val="nil"/>
              <w:left w:val="nil"/>
              <w:bottom w:val="nil"/>
              <w:right w:val="nil"/>
            </w:tcBorders>
            <w:vAlign w:val="center"/>
          </w:tcPr>
          <w:p>
            <w:pPr>
              <w:widowControl/>
              <w:jc w:val="left"/>
              <w:rPr>
                <w:color w:val="000000"/>
                <w:kern w:val="0"/>
                <w:sz w:val="18"/>
                <w:szCs w:val="18"/>
              </w:rPr>
            </w:pPr>
          </w:p>
        </w:tc>
        <w:tc>
          <w:tcPr>
            <w:tcW w:w="1340" w:type="dxa"/>
            <w:tcBorders>
              <w:top w:val="nil"/>
              <w:left w:val="nil"/>
              <w:bottom w:val="nil"/>
              <w:right w:val="nil"/>
            </w:tcBorders>
            <w:vAlign w:val="center"/>
          </w:tcPr>
          <w:p>
            <w:pPr>
              <w:widowControl/>
              <w:jc w:val="left"/>
              <w:rPr>
                <w:color w:val="000000"/>
                <w:kern w:val="0"/>
                <w:sz w:val="18"/>
                <w:szCs w:val="18"/>
              </w:rPr>
            </w:pPr>
          </w:p>
        </w:tc>
        <w:tc>
          <w:tcPr>
            <w:tcW w:w="1579" w:type="dxa"/>
            <w:tcBorders>
              <w:top w:val="nil"/>
              <w:left w:val="nil"/>
              <w:bottom w:val="nil"/>
              <w:right w:val="nil"/>
            </w:tcBorders>
            <w:vAlign w:val="center"/>
          </w:tcPr>
          <w:p>
            <w:pPr>
              <w:widowControl/>
              <w:jc w:val="left"/>
              <w:rPr>
                <w:color w:val="000000"/>
                <w:kern w:val="0"/>
                <w:sz w:val="18"/>
                <w:szCs w:val="18"/>
              </w:rPr>
            </w:pPr>
          </w:p>
        </w:tc>
        <w:tc>
          <w:tcPr>
            <w:tcW w:w="1281" w:type="dxa"/>
            <w:tcBorders>
              <w:top w:val="nil"/>
              <w:left w:val="nil"/>
              <w:bottom w:val="nil"/>
              <w:right w:val="nil"/>
            </w:tcBorders>
            <w:noWrap/>
            <w:vAlign w:val="bottom"/>
          </w:tcPr>
          <w:p>
            <w:pPr>
              <w:widowControl/>
              <w:jc w:val="left"/>
              <w:rPr>
                <w:rFonts w:eastAsia="等线"/>
                <w:color w:val="000000"/>
                <w:kern w:val="0"/>
                <w:sz w:val="22"/>
                <w:szCs w:val="22"/>
              </w:rPr>
            </w:pPr>
          </w:p>
        </w:tc>
        <w:tc>
          <w:tcPr>
            <w:tcW w:w="1080" w:type="dxa"/>
            <w:tcBorders>
              <w:top w:val="nil"/>
              <w:left w:val="nil"/>
              <w:bottom w:val="nil"/>
              <w:right w:val="nil"/>
            </w:tcBorders>
            <w:noWrap/>
            <w:vAlign w:val="bottom"/>
          </w:tcPr>
          <w:p>
            <w:pPr>
              <w:widowControl/>
              <w:jc w:val="left"/>
              <w:rPr>
                <w:rFonts w:eastAsia="等线"/>
                <w:color w:val="000000"/>
                <w:kern w:val="0"/>
                <w:sz w:val="22"/>
                <w:szCs w:val="22"/>
              </w:rPr>
            </w:pPr>
          </w:p>
        </w:tc>
        <w:tc>
          <w:tcPr>
            <w:tcW w:w="1182" w:type="dxa"/>
            <w:tcBorders>
              <w:top w:val="nil"/>
              <w:left w:val="nil"/>
              <w:bottom w:val="nil"/>
              <w:right w:val="nil"/>
            </w:tcBorders>
            <w:noWrap/>
            <w:vAlign w:val="bottom"/>
          </w:tcPr>
          <w:p>
            <w:pPr>
              <w:widowControl/>
              <w:jc w:val="left"/>
              <w:rPr>
                <w:rFonts w:eastAsia="等线"/>
                <w:color w:val="000000"/>
                <w:kern w:val="0"/>
                <w:sz w:val="22"/>
                <w:szCs w:val="22"/>
              </w:rPr>
            </w:pPr>
          </w:p>
        </w:tc>
        <w:tc>
          <w:tcPr>
            <w:tcW w:w="993" w:type="dxa"/>
            <w:tcBorders>
              <w:top w:val="nil"/>
              <w:left w:val="nil"/>
              <w:bottom w:val="nil"/>
              <w:right w:val="nil"/>
            </w:tcBorders>
            <w:noWrap/>
            <w:vAlign w:val="bottom"/>
          </w:tcPr>
          <w:p>
            <w:pPr>
              <w:widowControl/>
              <w:jc w:val="left"/>
              <w:rPr>
                <w:rFonts w:eastAsia="等线"/>
                <w:color w:val="000000"/>
                <w:kern w:val="0"/>
                <w:sz w:val="22"/>
                <w:szCs w:val="22"/>
              </w:rPr>
            </w:pPr>
          </w:p>
        </w:tc>
        <w:tc>
          <w:tcPr>
            <w:tcW w:w="1275" w:type="dxa"/>
            <w:tcBorders>
              <w:top w:val="nil"/>
              <w:left w:val="nil"/>
              <w:bottom w:val="nil"/>
              <w:right w:val="nil"/>
            </w:tcBorders>
            <w:noWrap/>
            <w:vAlign w:val="bottom"/>
          </w:tcPr>
          <w:p>
            <w:pPr>
              <w:widowControl/>
              <w:jc w:val="left"/>
              <w:rPr>
                <w:rFonts w:eastAsia="等线"/>
                <w:color w:val="000000"/>
                <w:kern w:val="0"/>
                <w:sz w:val="22"/>
                <w:szCs w:val="22"/>
              </w:rPr>
            </w:pPr>
            <w:r>
              <w:rPr>
                <w:rFonts w:eastAsia="等线"/>
                <w:color w:val="000000"/>
                <w:kern w:val="0"/>
                <w:sz w:val="22"/>
                <w:szCs w:val="22"/>
              </w:rPr>
              <w:t>单位：万元</w:t>
            </w:r>
          </w:p>
        </w:tc>
      </w:tr>
      <w:tr>
        <w:tblPrEx>
          <w:tblCellMar>
            <w:top w:w="0" w:type="dxa"/>
            <w:left w:w="108" w:type="dxa"/>
            <w:bottom w:w="0" w:type="dxa"/>
            <w:right w:w="108" w:type="dxa"/>
          </w:tblCellMar>
        </w:tblPrEx>
        <w:trPr>
          <w:trHeight w:val="450" w:hRule="atLeast"/>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b/>
                <w:bCs/>
                <w:color w:val="000000"/>
                <w:kern w:val="0"/>
                <w:sz w:val="24"/>
              </w:rPr>
              <w:t>项目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合计</w:t>
            </w:r>
          </w:p>
        </w:tc>
        <w:tc>
          <w:tcPr>
            <w:tcW w:w="11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上年结转</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一般公共预算拨款收入</w:t>
            </w:r>
          </w:p>
        </w:tc>
        <w:tc>
          <w:tcPr>
            <w:tcW w:w="1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政府性基金预算拨款收入</w:t>
            </w:r>
          </w:p>
        </w:tc>
        <w:tc>
          <w:tcPr>
            <w:tcW w:w="15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国有资本经营预算拨款收入</w:t>
            </w:r>
          </w:p>
        </w:tc>
        <w:tc>
          <w:tcPr>
            <w:tcW w:w="2361" w:type="dxa"/>
            <w:gridSpan w:val="2"/>
            <w:tcBorders>
              <w:top w:val="single" w:color="auto" w:sz="4" w:space="0"/>
              <w:left w:val="nil"/>
              <w:bottom w:val="single" w:color="auto" w:sz="4" w:space="0"/>
              <w:right w:val="single" w:color="auto" w:sz="4" w:space="0"/>
            </w:tcBorders>
            <w:vAlign w:val="center"/>
          </w:tcPr>
          <w:p>
            <w:pPr>
              <w:widowControl/>
              <w:jc w:val="center"/>
              <w:rPr>
                <w:b/>
                <w:bCs/>
                <w:kern w:val="0"/>
                <w:sz w:val="24"/>
              </w:rPr>
            </w:pPr>
            <w:r>
              <w:rPr>
                <w:b/>
                <w:bCs/>
                <w:kern w:val="0"/>
                <w:sz w:val="24"/>
              </w:rPr>
              <w:t>事业收入预算</w:t>
            </w:r>
          </w:p>
        </w:tc>
        <w:tc>
          <w:tcPr>
            <w:tcW w:w="11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事业单位经营收入预算</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其他收入预算</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b/>
                <w:bCs/>
                <w:kern w:val="0"/>
                <w:sz w:val="24"/>
              </w:rPr>
              <w:t>用事业基金弥补收支差额</w:t>
            </w:r>
          </w:p>
        </w:tc>
      </w:tr>
      <w:tr>
        <w:tblPrEx>
          <w:tblCellMar>
            <w:top w:w="0" w:type="dxa"/>
            <w:left w:w="108" w:type="dxa"/>
            <w:bottom w:w="0" w:type="dxa"/>
            <w:right w:w="108" w:type="dxa"/>
          </w:tblCellMar>
        </w:tblPrEx>
        <w:trPr>
          <w:trHeight w:val="1140" w:hRule="atLeast"/>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81" w:type="dxa"/>
            <w:tcBorders>
              <w:top w:val="nil"/>
              <w:left w:val="nil"/>
              <w:bottom w:val="single" w:color="auto" w:sz="4" w:space="0"/>
              <w:right w:val="single" w:color="auto" w:sz="4" w:space="0"/>
            </w:tcBorders>
            <w:vAlign w:val="center"/>
          </w:tcPr>
          <w:p>
            <w:pPr>
              <w:widowControl/>
              <w:jc w:val="center"/>
              <w:rPr>
                <w:b/>
                <w:bCs/>
                <w:kern w:val="0"/>
                <w:sz w:val="24"/>
              </w:rPr>
            </w:pPr>
            <w:r>
              <w:rPr>
                <w:b/>
                <w:bCs/>
                <w:kern w:val="0"/>
                <w:sz w:val="24"/>
              </w:rPr>
              <w:t>非教育收费收入预算</w:t>
            </w:r>
          </w:p>
        </w:tc>
        <w:tc>
          <w:tcPr>
            <w:tcW w:w="1080" w:type="dxa"/>
            <w:tcBorders>
              <w:top w:val="nil"/>
              <w:left w:val="nil"/>
              <w:bottom w:val="single" w:color="auto" w:sz="4" w:space="0"/>
              <w:right w:val="single" w:color="auto" w:sz="4" w:space="0"/>
            </w:tcBorders>
            <w:vAlign w:val="center"/>
          </w:tcPr>
          <w:p>
            <w:pPr>
              <w:widowControl/>
              <w:jc w:val="center"/>
              <w:rPr>
                <w:b/>
                <w:bCs/>
                <w:kern w:val="0"/>
                <w:sz w:val="24"/>
              </w:rPr>
            </w:pPr>
            <w:r>
              <w:rPr>
                <w:b/>
                <w:bCs/>
                <w:kern w:val="0"/>
                <w:sz w:val="24"/>
              </w:rPr>
              <w:t>教育收费收入预算</w:t>
            </w:r>
          </w:p>
        </w:tc>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r>
      <w:tr>
        <w:tblPrEx>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jc w:val="center"/>
              <w:rPr>
                <w:kern w:val="0"/>
                <w:sz w:val="24"/>
              </w:rPr>
            </w:pPr>
            <w:r>
              <w:rPr>
                <w:kern w:val="0"/>
                <w:sz w:val="24"/>
              </w:rPr>
              <w:t>合计</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r>
              <w:rPr>
                <w:rFonts w:hint="eastAsia" w:eastAsia="等线"/>
                <w:color w:val="000000"/>
                <w:kern w:val="0"/>
                <w:sz w:val="22"/>
                <w:szCs w:val="22"/>
              </w:rPr>
              <w:t>70.00</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r>
              <w:rPr>
                <w:rFonts w:hint="eastAsia" w:eastAsia="等线"/>
                <w:color w:val="000000"/>
                <w:kern w:val="0"/>
                <w:sz w:val="22"/>
                <w:szCs w:val="22"/>
              </w:rPr>
              <w:t>70.00</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货物类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r>
              <w:rPr>
                <w:rFonts w:hint="eastAsia" w:eastAsia="等线"/>
                <w:color w:val="000000"/>
                <w:kern w:val="0"/>
                <w:sz w:val="22"/>
                <w:szCs w:val="22"/>
              </w:rPr>
              <w:t>70.00</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r>
              <w:rPr>
                <w:rFonts w:hint="eastAsia" w:eastAsia="等线"/>
                <w:color w:val="000000"/>
                <w:kern w:val="0"/>
                <w:sz w:val="22"/>
                <w:szCs w:val="22"/>
              </w:rPr>
              <w:t>70.00</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服务类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9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480" w:firstLineChars="200"/>
              <w:jc w:val="left"/>
              <w:rPr>
                <w:kern w:val="0"/>
                <w:sz w:val="24"/>
              </w:rPr>
            </w:pPr>
            <w:r>
              <w:rPr>
                <w:kern w:val="0"/>
                <w:sz w:val="24"/>
              </w:rPr>
              <w:t>工程类</w:t>
            </w:r>
          </w:p>
        </w:tc>
        <w:tc>
          <w:tcPr>
            <w:tcW w:w="170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26"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0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34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noWrap/>
            <w:vAlign w:val="bottom"/>
          </w:tcPr>
          <w:p>
            <w:pPr>
              <w:widowControl/>
              <w:jc w:val="left"/>
              <w:rPr>
                <w:rFonts w:eastAsia="等线"/>
                <w:color w:val="000000"/>
                <w:kern w:val="0"/>
                <w:sz w:val="22"/>
                <w:szCs w:val="22"/>
              </w:rPr>
            </w:pPr>
            <w:r>
              <w:rPr>
                <w:rFonts w:eastAsia="等线"/>
                <w:color w:val="000000"/>
                <w:kern w:val="0"/>
                <w:sz w:val="22"/>
                <w:szCs w:val="22"/>
              </w:rPr>
              <w:t>　</w:t>
            </w:r>
          </w:p>
        </w:tc>
      </w:tr>
    </w:tbl>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widowControl/>
        <w:snapToGrid w:val="0"/>
        <w:spacing w:line="560" w:lineRule="exact"/>
        <w:jc w:val="left"/>
        <w:rPr>
          <w:rFonts w:eastAsia="方正黑体_GBK"/>
          <w:kern w:val="0"/>
          <w:sz w:val="32"/>
          <w:szCs w:val="32"/>
        </w:rPr>
      </w:pPr>
      <w:r>
        <w:rPr>
          <w:rFonts w:eastAsia="方正黑体_GBK"/>
          <w:kern w:val="0"/>
          <w:sz w:val="32"/>
          <w:szCs w:val="32"/>
        </w:rPr>
        <w:t>附件3-10</w:t>
      </w:r>
    </w:p>
    <w:tbl>
      <w:tblPr>
        <w:tblStyle w:val="19"/>
        <w:tblW w:w="13907" w:type="dxa"/>
        <w:tblInd w:w="93" w:type="dxa"/>
        <w:tblLayout w:type="autofit"/>
        <w:tblCellMar>
          <w:top w:w="0" w:type="dxa"/>
          <w:left w:w="108" w:type="dxa"/>
          <w:bottom w:w="0" w:type="dxa"/>
          <w:right w:w="108" w:type="dxa"/>
        </w:tblCellMar>
      </w:tblPr>
      <w:tblGrid>
        <w:gridCol w:w="2417"/>
        <w:gridCol w:w="2931"/>
        <w:gridCol w:w="2470"/>
        <w:gridCol w:w="2470"/>
        <w:gridCol w:w="2470"/>
        <w:gridCol w:w="1937"/>
      </w:tblGrid>
      <w:tr>
        <w:tblPrEx>
          <w:tblCellMar>
            <w:top w:w="0" w:type="dxa"/>
            <w:left w:w="108" w:type="dxa"/>
            <w:bottom w:w="0" w:type="dxa"/>
            <w:right w:w="108" w:type="dxa"/>
          </w:tblCellMar>
        </w:tblPrEx>
        <w:trPr>
          <w:trHeight w:val="1533" w:hRule="atLeast"/>
        </w:trPr>
        <w:tc>
          <w:tcPr>
            <w:tcW w:w="13907" w:type="dxa"/>
            <w:gridSpan w:val="6"/>
            <w:tcBorders>
              <w:top w:val="nil"/>
              <w:left w:val="nil"/>
              <w:bottom w:val="nil"/>
              <w:right w:val="nil"/>
            </w:tcBorders>
            <w:vAlign w:val="center"/>
          </w:tcPr>
          <w:p>
            <w:pPr>
              <w:widowControl/>
              <w:jc w:val="center"/>
              <w:rPr>
                <w:rFonts w:eastAsia="方正小标宋_GBK"/>
                <w:bCs/>
                <w:color w:val="000000"/>
                <w:kern w:val="0"/>
                <w:sz w:val="36"/>
                <w:szCs w:val="36"/>
              </w:rPr>
            </w:pPr>
            <w:r>
              <w:rPr>
                <w:rFonts w:eastAsia="方正小标宋_GBK"/>
                <w:bCs/>
                <w:color w:val="000000"/>
                <w:kern w:val="0"/>
                <w:sz w:val="36"/>
                <w:szCs w:val="36"/>
              </w:rPr>
              <w:t>2023年部门预算整体绩效目标表</w:t>
            </w:r>
          </w:p>
          <w:tbl>
            <w:tblPr>
              <w:tblStyle w:val="19"/>
              <w:tblW w:w="14506" w:type="dxa"/>
              <w:tblInd w:w="0" w:type="dxa"/>
              <w:tblLayout w:type="autofit"/>
              <w:tblCellMar>
                <w:top w:w="0" w:type="dxa"/>
                <w:left w:w="108" w:type="dxa"/>
                <w:bottom w:w="0" w:type="dxa"/>
                <w:right w:w="108" w:type="dxa"/>
              </w:tblCellMar>
            </w:tblPr>
            <w:tblGrid>
              <w:gridCol w:w="458"/>
              <w:gridCol w:w="865"/>
              <w:gridCol w:w="1559"/>
              <w:gridCol w:w="1559"/>
              <w:gridCol w:w="1418"/>
              <w:gridCol w:w="1134"/>
              <w:gridCol w:w="1276"/>
              <w:gridCol w:w="1559"/>
              <w:gridCol w:w="1701"/>
              <w:gridCol w:w="1276"/>
              <w:gridCol w:w="1701"/>
            </w:tblGrid>
            <w:tr>
              <w:tblPrEx>
                <w:tblCellMar>
                  <w:top w:w="0" w:type="dxa"/>
                  <w:left w:w="108" w:type="dxa"/>
                  <w:bottom w:w="0" w:type="dxa"/>
                  <w:right w:w="108" w:type="dxa"/>
                </w:tblCellMar>
              </w:tblPrEx>
              <w:trPr>
                <w:trHeight w:val="443" w:hRule="atLeast"/>
              </w:trPr>
              <w:tc>
                <w:tcPr>
                  <w:tcW w:w="132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总体资金情况（万元）</w:t>
                  </w:r>
                </w:p>
              </w:tc>
              <w:tc>
                <w:tcPr>
                  <w:tcW w:w="15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预算支出总额</w:t>
                  </w:r>
                </w:p>
              </w:tc>
              <w:tc>
                <w:tcPr>
                  <w:tcW w:w="5387"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基本支出</w:t>
                  </w:r>
                </w:p>
              </w:tc>
              <w:tc>
                <w:tcPr>
                  <w:tcW w:w="6237" w:type="dxa"/>
                  <w:gridSpan w:val="4"/>
                  <w:tcBorders>
                    <w:top w:val="single" w:color="auto" w:sz="4" w:space="0"/>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项目支出</w:t>
                  </w:r>
                </w:p>
              </w:tc>
            </w:tr>
            <w:tr>
              <w:tblPrEx>
                <w:tblCellMar>
                  <w:top w:w="0" w:type="dxa"/>
                  <w:left w:w="108" w:type="dxa"/>
                  <w:bottom w:w="0" w:type="dxa"/>
                  <w:right w:w="108" w:type="dxa"/>
                </w:tblCellMar>
              </w:tblPrEx>
              <w:trPr>
                <w:trHeight w:val="443" w:hRule="atLeast"/>
              </w:trPr>
              <w:tc>
                <w:tcPr>
                  <w:tcW w:w="13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bCs/>
                      <w:color w:val="000000"/>
                      <w:kern w:val="0"/>
                      <w:sz w:val="22"/>
                      <w:szCs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合计</w:t>
                  </w:r>
                </w:p>
              </w:tc>
              <w:tc>
                <w:tcPr>
                  <w:tcW w:w="1418"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财政拨款</w:t>
                  </w:r>
                </w:p>
              </w:tc>
              <w:tc>
                <w:tcPr>
                  <w:tcW w:w="1134"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专户资金</w:t>
                  </w:r>
                </w:p>
              </w:tc>
              <w:tc>
                <w:tcPr>
                  <w:tcW w:w="1276"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单位资金</w:t>
                  </w:r>
                </w:p>
              </w:tc>
              <w:tc>
                <w:tcPr>
                  <w:tcW w:w="1559"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合计</w:t>
                  </w:r>
                </w:p>
              </w:tc>
              <w:tc>
                <w:tcPr>
                  <w:tcW w:w="1701"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财政拨款</w:t>
                  </w:r>
                </w:p>
              </w:tc>
              <w:tc>
                <w:tcPr>
                  <w:tcW w:w="1276"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专户资金</w:t>
                  </w:r>
                </w:p>
              </w:tc>
              <w:tc>
                <w:tcPr>
                  <w:tcW w:w="1701"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单位资金</w:t>
                  </w:r>
                </w:p>
              </w:tc>
            </w:tr>
            <w:tr>
              <w:tblPrEx>
                <w:tblCellMar>
                  <w:top w:w="0" w:type="dxa"/>
                  <w:left w:w="108" w:type="dxa"/>
                  <w:bottom w:w="0" w:type="dxa"/>
                  <w:right w:w="108" w:type="dxa"/>
                </w:tblCellMar>
              </w:tblPrEx>
              <w:trPr>
                <w:trHeight w:val="527" w:hRule="atLeast"/>
              </w:trPr>
              <w:tc>
                <w:tcPr>
                  <w:tcW w:w="132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黑体_GBK" w:hAnsi="宋体" w:eastAsia="方正黑体_GBK" w:cs="宋体"/>
                      <w:bCs/>
                      <w:color w:val="000000"/>
                      <w:kern w:val="0"/>
                      <w:sz w:val="22"/>
                      <w:szCs w:val="22"/>
                    </w:rPr>
                  </w:pPr>
                </w:p>
              </w:tc>
              <w:tc>
                <w:tcPr>
                  <w:tcW w:w="1559" w:type="dxa"/>
                  <w:tcBorders>
                    <w:top w:val="nil"/>
                    <w:left w:val="nil"/>
                    <w:bottom w:val="single" w:color="auto" w:sz="4" w:space="0"/>
                    <w:right w:val="single" w:color="auto" w:sz="4" w:space="0"/>
                  </w:tcBorders>
                  <w:shd w:val="clear" w:color="000000" w:fill="FFFFFF"/>
                  <w:vAlign w:val="center"/>
                </w:tcPr>
                <w:p>
                  <w:pPr>
                    <w:widowControl/>
                    <w:jc w:val="right"/>
                    <w:rPr>
                      <w:rFonts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2578.38　</w:t>
                  </w:r>
                </w:p>
              </w:tc>
              <w:tc>
                <w:tcPr>
                  <w:tcW w:w="1559" w:type="dxa"/>
                  <w:tcBorders>
                    <w:top w:val="nil"/>
                    <w:left w:val="nil"/>
                    <w:bottom w:val="single" w:color="auto" w:sz="4" w:space="0"/>
                    <w:right w:val="single" w:color="auto" w:sz="4" w:space="0"/>
                  </w:tcBorders>
                  <w:vAlign w:val="center"/>
                </w:tcPr>
                <w:p>
                  <w:pPr>
                    <w:widowControl/>
                    <w:jc w:val="right"/>
                    <w:rPr>
                      <w:rFonts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1827.38　</w:t>
                  </w:r>
                </w:p>
              </w:tc>
              <w:tc>
                <w:tcPr>
                  <w:tcW w:w="1418" w:type="dxa"/>
                  <w:tcBorders>
                    <w:top w:val="nil"/>
                    <w:left w:val="nil"/>
                    <w:bottom w:val="single" w:color="auto" w:sz="4" w:space="0"/>
                    <w:right w:val="single" w:color="auto" w:sz="4" w:space="0"/>
                  </w:tcBorders>
                  <w:vAlign w:val="center"/>
                </w:tcPr>
                <w:p>
                  <w:pPr>
                    <w:widowControl/>
                    <w:jc w:val="right"/>
                    <w:rPr>
                      <w:rFonts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1827.38　</w:t>
                  </w:r>
                </w:p>
              </w:tc>
              <w:tc>
                <w:tcPr>
                  <w:tcW w:w="1134" w:type="dxa"/>
                  <w:tcBorders>
                    <w:top w:val="nil"/>
                    <w:left w:val="nil"/>
                    <w:bottom w:val="single" w:color="auto" w:sz="4" w:space="0"/>
                    <w:right w:val="single" w:color="auto" w:sz="4" w:space="0"/>
                  </w:tcBorders>
                  <w:vAlign w:val="center"/>
                </w:tcPr>
                <w:p>
                  <w:pPr>
                    <w:widowControl/>
                    <w:jc w:val="right"/>
                    <w:rPr>
                      <w:rFonts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right"/>
                    <w:rPr>
                      <w:rFonts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c>
                <w:tcPr>
                  <w:tcW w:w="1559" w:type="dxa"/>
                  <w:tcBorders>
                    <w:top w:val="nil"/>
                    <w:left w:val="nil"/>
                    <w:bottom w:val="single" w:color="auto" w:sz="4" w:space="0"/>
                    <w:right w:val="single" w:color="auto" w:sz="4" w:space="0"/>
                  </w:tcBorders>
                  <w:vAlign w:val="center"/>
                </w:tcPr>
                <w:p>
                  <w:pPr>
                    <w:widowControl/>
                    <w:jc w:val="right"/>
                    <w:rPr>
                      <w:rFonts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751.00　</w:t>
                  </w:r>
                </w:p>
              </w:tc>
              <w:tc>
                <w:tcPr>
                  <w:tcW w:w="1701" w:type="dxa"/>
                  <w:tcBorders>
                    <w:top w:val="nil"/>
                    <w:left w:val="nil"/>
                    <w:bottom w:val="single" w:color="auto" w:sz="4" w:space="0"/>
                    <w:right w:val="single" w:color="auto" w:sz="4" w:space="0"/>
                  </w:tcBorders>
                  <w:noWrap/>
                  <w:vAlign w:val="center"/>
                </w:tcPr>
                <w:p>
                  <w:pPr>
                    <w:widowControl/>
                    <w:jc w:val="right"/>
                    <w:rPr>
                      <w:rFonts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751.00　</w:t>
                  </w:r>
                </w:p>
              </w:tc>
              <w:tc>
                <w:tcPr>
                  <w:tcW w:w="1276" w:type="dxa"/>
                  <w:tcBorders>
                    <w:top w:val="nil"/>
                    <w:left w:val="nil"/>
                    <w:bottom w:val="single" w:color="auto" w:sz="4" w:space="0"/>
                    <w:right w:val="single" w:color="auto" w:sz="4" w:space="0"/>
                  </w:tcBorders>
                  <w:vAlign w:val="center"/>
                </w:tcPr>
                <w:p>
                  <w:pPr>
                    <w:widowControl/>
                    <w:jc w:val="right"/>
                    <w:rPr>
                      <w:rFonts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jc w:val="right"/>
                    <w:rPr>
                      <w:rFonts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r>
            <w:tr>
              <w:tblPrEx>
                <w:tblCellMar>
                  <w:top w:w="0" w:type="dxa"/>
                  <w:left w:w="108" w:type="dxa"/>
                  <w:bottom w:w="0" w:type="dxa"/>
                  <w:right w:w="108" w:type="dxa"/>
                </w:tblCellMar>
              </w:tblPrEx>
              <w:trPr>
                <w:trHeight w:val="1680" w:hRule="atLeast"/>
              </w:trPr>
              <w:tc>
                <w:tcPr>
                  <w:tcW w:w="458" w:type="dxa"/>
                  <w:vMerge w:val="restart"/>
                  <w:tcBorders>
                    <w:top w:val="nil"/>
                    <w:left w:val="single" w:color="auto" w:sz="4" w:space="0"/>
                    <w:bottom w:val="single" w:color="auto" w:sz="4" w:space="0"/>
                    <w:right w:val="single" w:color="auto" w:sz="4" w:space="0"/>
                  </w:tcBorders>
                  <w:vAlign w:val="center"/>
                </w:tcPr>
                <w:p>
                  <w:pPr>
                    <w:widowControl/>
                    <w:jc w:val="center"/>
                    <w:rPr>
                      <w:rFonts w:ascii="方正黑体_GBK" w:hAnsi="宋体" w:eastAsia="方正黑体_GBK" w:cs="宋体"/>
                      <w:b/>
                      <w:bCs/>
                      <w:color w:val="000000"/>
                      <w:kern w:val="0"/>
                      <w:sz w:val="24"/>
                    </w:rPr>
                  </w:pPr>
                  <w:r>
                    <w:rPr>
                      <w:rFonts w:hint="eastAsia" w:ascii="方正黑体_GBK" w:hAnsi="宋体" w:eastAsia="方正黑体_GBK" w:cs="宋体"/>
                      <w:b/>
                      <w:bCs/>
                      <w:color w:val="000000"/>
                      <w:kern w:val="0"/>
                      <w:sz w:val="24"/>
                    </w:rPr>
                    <w:t>部</w:t>
                  </w:r>
                  <w:r>
                    <w:rPr>
                      <w:rFonts w:hint="eastAsia" w:ascii="方正黑体_GBK" w:hAnsi="宋体" w:eastAsia="方正黑体_GBK" w:cs="宋体"/>
                      <w:b/>
                      <w:bCs/>
                      <w:color w:val="000000"/>
                      <w:kern w:val="0"/>
                      <w:sz w:val="24"/>
                    </w:rPr>
                    <w:br w:type="textWrapping"/>
                  </w:r>
                  <w:r>
                    <w:rPr>
                      <w:rFonts w:hint="eastAsia" w:ascii="方正黑体_GBK" w:hAnsi="宋体" w:eastAsia="方正黑体_GBK" w:cs="宋体"/>
                      <w:b/>
                      <w:bCs/>
                      <w:color w:val="000000"/>
                      <w:kern w:val="0"/>
                      <w:sz w:val="24"/>
                    </w:rPr>
                    <w:t>门</w:t>
                  </w:r>
                  <w:r>
                    <w:rPr>
                      <w:rFonts w:hint="eastAsia" w:ascii="方正黑体_GBK" w:hAnsi="宋体" w:eastAsia="方正黑体_GBK" w:cs="宋体"/>
                      <w:b/>
                      <w:bCs/>
                      <w:color w:val="000000"/>
                      <w:kern w:val="0"/>
                      <w:sz w:val="24"/>
                    </w:rPr>
                    <w:br w:type="textWrapping"/>
                  </w:r>
                  <w:r>
                    <w:rPr>
                      <w:rFonts w:hint="eastAsia" w:ascii="方正黑体_GBK" w:hAnsi="宋体" w:eastAsia="方正黑体_GBK" w:cs="宋体"/>
                      <w:b/>
                      <w:bCs/>
                      <w:color w:val="000000"/>
                      <w:kern w:val="0"/>
                      <w:sz w:val="24"/>
                    </w:rPr>
                    <w:t>整</w:t>
                  </w:r>
                  <w:r>
                    <w:rPr>
                      <w:rFonts w:hint="eastAsia" w:ascii="方正黑体_GBK" w:hAnsi="宋体" w:eastAsia="方正黑体_GBK" w:cs="宋体"/>
                      <w:b/>
                      <w:bCs/>
                      <w:color w:val="000000"/>
                      <w:kern w:val="0"/>
                      <w:sz w:val="24"/>
                    </w:rPr>
                    <w:br w:type="textWrapping"/>
                  </w:r>
                  <w:r>
                    <w:rPr>
                      <w:rFonts w:hint="eastAsia" w:ascii="方正黑体_GBK" w:hAnsi="宋体" w:eastAsia="方正黑体_GBK" w:cs="宋体"/>
                      <w:b/>
                      <w:bCs/>
                      <w:color w:val="000000"/>
                      <w:kern w:val="0"/>
                      <w:sz w:val="24"/>
                    </w:rPr>
                    <w:t>体</w:t>
                  </w:r>
                  <w:r>
                    <w:rPr>
                      <w:rFonts w:hint="eastAsia" w:ascii="方正黑体_GBK" w:hAnsi="宋体" w:eastAsia="方正黑体_GBK" w:cs="宋体"/>
                      <w:b/>
                      <w:bCs/>
                      <w:color w:val="000000"/>
                      <w:kern w:val="0"/>
                      <w:sz w:val="24"/>
                    </w:rPr>
                    <w:br w:type="textWrapping"/>
                  </w:r>
                  <w:r>
                    <w:rPr>
                      <w:rFonts w:hint="eastAsia" w:ascii="方正黑体_GBK" w:hAnsi="宋体" w:eastAsia="方正黑体_GBK" w:cs="宋体"/>
                      <w:b/>
                      <w:bCs/>
                      <w:color w:val="000000"/>
                      <w:kern w:val="0"/>
                      <w:sz w:val="24"/>
                    </w:rPr>
                    <w:t>绩</w:t>
                  </w:r>
                  <w:r>
                    <w:rPr>
                      <w:rFonts w:hint="eastAsia" w:ascii="方正黑体_GBK" w:hAnsi="宋体" w:eastAsia="方正黑体_GBK" w:cs="宋体"/>
                      <w:b/>
                      <w:bCs/>
                      <w:color w:val="000000"/>
                      <w:kern w:val="0"/>
                      <w:sz w:val="24"/>
                    </w:rPr>
                    <w:br w:type="textWrapping"/>
                  </w:r>
                  <w:r>
                    <w:rPr>
                      <w:rFonts w:hint="eastAsia" w:ascii="方正黑体_GBK" w:hAnsi="宋体" w:eastAsia="方正黑体_GBK" w:cs="宋体"/>
                      <w:b/>
                      <w:bCs/>
                      <w:color w:val="000000"/>
                      <w:kern w:val="0"/>
                      <w:sz w:val="24"/>
                    </w:rPr>
                    <w:t>效</w:t>
                  </w:r>
                  <w:r>
                    <w:rPr>
                      <w:rFonts w:hint="eastAsia" w:ascii="方正黑体_GBK" w:hAnsi="宋体" w:eastAsia="方正黑体_GBK" w:cs="宋体"/>
                      <w:b/>
                      <w:bCs/>
                      <w:color w:val="000000"/>
                      <w:kern w:val="0"/>
                      <w:sz w:val="24"/>
                    </w:rPr>
                    <w:br w:type="textWrapping"/>
                  </w:r>
                  <w:r>
                    <w:rPr>
                      <w:rFonts w:hint="eastAsia" w:ascii="方正黑体_GBK" w:hAnsi="宋体" w:eastAsia="方正黑体_GBK" w:cs="宋体"/>
                      <w:b/>
                      <w:bCs/>
                      <w:color w:val="000000"/>
                      <w:kern w:val="0"/>
                      <w:sz w:val="24"/>
                    </w:rPr>
                    <w:t>情</w:t>
                  </w:r>
                  <w:r>
                    <w:rPr>
                      <w:rFonts w:hint="eastAsia" w:ascii="方正黑体_GBK" w:hAnsi="宋体" w:eastAsia="方正黑体_GBK" w:cs="宋体"/>
                      <w:b/>
                      <w:bCs/>
                      <w:color w:val="000000"/>
                      <w:kern w:val="0"/>
                      <w:sz w:val="24"/>
                    </w:rPr>
                    <w:br w:type="textWrapping"/>
                  </w:r>
                  <w:r>
                    <w:rPr>
                      <w:rFonts w:hint="eastAsia" w:ascii="方正黑体_GBK" w:hAnsi="宋体" w:eastAsia="方正黑体_GBK" w:cs="宋体"/>
                      <w:b/>
                      <w:bCs/>
                      <w:color w:val="000000"/>
                      <w:kern w:val="0"/>
                      <w:sz w:val="24"/>
                    </w:rPr>
                    <w:t>况</w:t>
                  </w:r>
                </w:p>
              </w:tc>
              <w:tc>
                <w:tcPr>
                  <w:tcW w:w="865"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
                      <w:bCs/>
                      <w:color w:val="000000"/>
                      <w:kern w:val="0"/>
                      <w:sz w:val="22"/>
                      <w:szCs w:val="22"/>
                    </w:rPr>
                  </w:pPr>
                  <w:r>
                    <w:rPr>
                      <w:rFonts w:hint="eastAsia" w:ascii="方正黑体_GBK" w:hAnsi="宋体" w:eastAsia="方正黑体_GBK" w:cs="宋体"/>
                      <w:b/>
                      <w:bCs/>
                      <w:color w:val="000000"/>
                      <w:kern w:val="0"/>
                      <w:sz w:val="22"/>
                      <w:szCs w:val="22"/>
                    </w:rPr>
                    <w:t>整体绩效目标</w:t>
                  </w:r>
                </w:p>
              </w:tc>
              <w:tc>
                <w:tcPr>
                  <w:tcW w:w="13183" w:type="dxa"/>
                  <w:gridSpan w:val="9"/>
                  <w:tcBorders>
                    <w:top w:val="single" w:color="auto" w:sz="4" w:space="0"/>
                    <w:left w:val="nil"/>
                    <w:bottom w:val="single" w:color="auto" w:sz="4" w:space="0"/>
                    <w:right w:val="single" w:color="auto" w:sz="4" w:space="0"/>
                  </w:tcBorders>
                </w:tcPr>
                <w:p>
                  <w:pPr>
                    <w:widowControl/>
                    <w:jc w:val="left"/>
                    <w:rPr>
                      <w:rFonts w:ascii="方正黑体_GBK" w:hAnsi="宋体" w:eastAsia="方正黑体_GBK" w:cs="宋体"/>
                      <w:color w:val="000000"/>
                      <w:kern w:val="0"/>
                      <w:sz w:val="22"/>
                      <w:szCs w:val="22"/>
                    </w:rPr>
                  </w:pPr>
                  <w:r>
                    <w:rPr>
                      <w:rFonts w:hint="eastAsia" w:ascii="宋体" w:hAnsi="宋体" w:cs="宋体"/>
                      <w:color w:val="000000"/>
                      <w:kern w:val="0"/>
                      <w:sz w:val="22"/>
                      <w:szCs w:val="22"/>
                    </w:rPr>
                    <w:t>1.承担全面依法治区重大问题的政策研究，协调有关方面提出全面依法治区中长期规划建议。2.负责区政府以及乡镇人民政府(街道办事处)和区政府部门规范性文件的备案审査工作。组织开展规范性文件清理工作。3.承担统筹推进法治政府建设的责任。指导、监督全区依法行政工作、承担推进行政执法体制改革有关工作，负责综合协调行政执法，推进严格规范公正文明执法。承办区政府管辖的行政复议案件，指导、协调区政府有关行政诉讼案件、行政裁决案件和国家赔偿案件。负责重庆市梁平区司法局管辖的国家赔偿行政应诉工作。负责全区政府法律顾问工作的指导和协调，承担区政府法律顾问有关工作。承办区政府涉外、涉港澳台有关法律事务。4.承担统筹规划法治社会建设任务。负责拟订全区法治宣传教育规划，组织实施普法宣传工作。推动人民参与和促进法治建设。指导依法治理和法治创建工作。指导调解工作和人民陪审员、人民监督员选任管理工作，推进司法所建设。5.指导、管理社区矫正工作。指导帮教安置工作。6.负责拟订全区公共法律服务体系建设规划并指导实施统筹和布局城乡、区域法律服务资源。指导、监督律师、法律援助、司法鉴定、公证、仲裁和基层法律服务管理工作。7.指导、监督本系统财务、装备、设施、场所等保障工作。8.规划、协调、指导全区法治人才队伍建设相关工作，负责本系统队伍建设、党建工作。9.负责本系统信息化建设和应急处突指挥工作。10.完成区委和区政府交办的其他任务。</w:t>
                  </w:r>
                </w:p>
              </w:tc>
            </w:tr>
            <w:tr>
              <w:tblPrEx>
                <w:tblCellMar>
                  <w:top w:w="0" w:type="dxa"/>
                  <w:left w:w="108" w:type="dxa"/>
                  <w:bottom w:w="0" w:type="dxa"/>
                  <w:right w:w="108" w:type="dxa"/>
                </w:tblCellMar>
              </w:tblPrEx>
              <w:trPr>
                <w:trHeight w:val="600" w:hRule="atLeast"/>
              </w:trPr>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黑体_GBK" w:hAnsi="宋体" w:eastAsia="方正黑体_GBK" w:cs="宋体"/>
                      <w:b/>
                      <w:bCs/>
                      <w:color w:val="000000"/>
                      <w:kern w:val="0"/>
                      <w:sz w:val="24"/>
                    </w:rPr>
                  </w:pPr>
                </w:p>
              </w:tc>
              <w:tc>
                <w:tcPr>
                  <w:tcW w:w="14048"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黑体_GBK" w:hAnsi="微软雅黑" w:eastAsia="方正黑体_GBK" w:cs="宋体"/>
                      <w:bCs/>
                      <w:kern w:val="0"/>
                      <w:sz w:val="28"/>
                      <w:szCs w:val="28"/>
                    </w:rPr>
                  </w:pPr>
                  <w:r>
                    <w:rPr>
                      <w:rFonts w:hint="eastAsia" w:ascii="方正黑体_GBK" w:hAnsi="微软雅黑" w:eastAsia="方正黑体_GBK" w:cs="宋体"/>
                      <w:bCs/>
                      <w:kern w:val="0"/>
                      <w:sz w:val="28"/>
                      <w:szCs w:val="28"/>
                    </w:rPr>
                    <w:t>年度绩效指标</w:t>
                  </w:r>
                </w:p>
              </w:tc>
            </w:tr>
            <w:tr>
              <w:tblPrEx>
                <w:tblCellMar>
                  <w:top w:w="0" w:type="dxa"/>
                  <w:left w:w="108" w:type="dxa"/>
                  <w:bottom w:w="0" w:type="dxa"/>
                  <w:right w:w="108" w:type="dxa"/>
                </w:tblCellMar>
              </w:tblPrEx>
              <w:trPr>
                <w:trHeight w:val="625"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b/>
                      <w:bCs/>
                      <w:color w:val="000000"/>
                      <w:kern w:val="0"/>
                      <w:sz w:val="24"/>
                    </w:rPr>
                  </w:pPr>
                </w:p>
              </w:tc>
              <w:tc>
                <w:tcPr>
                  <w:tcW w:w="865"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
                      <w:bCs/>
                      <w:color w:val="000000"/>
                      <w:kern w:val="0"/>
                      <w:sz w:val="22"/>
                      <w:szCs w:val="22"/>
                    </w:rPr>
                  </w:pPr>
                  <w:r>
                    <w:rPr>
                      <w:rFonts w:hint="eastAsia" w:ascii="方正黑体_GBK" w:hAnsi="宋体" w:eastAsia="方正黑体_GBK" w:cs="宋体"/>
                      <w:b/>
                      <w:bCs/>
                      <w:color w:val="000000"/>
                      <w:kern w:val="0"/>
                      <w:sz w:val="22"/>
                      <w:szCs w:val="22"/>
                    </w:rPr>
                    <w:t>一级指标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center"/>
                    <w:rPr>
                      <w:rFonts w:ascii="方正黑体_GBK" w:hAnsi="宋体" w:eastAsia="方正黑体_GBK" w:cs="宋体"/>
                      <w:b/>
                      <w:bCs/>
                      <w:color w:val="000000"/>
                      <w:kern w:val="0"/>
                      <w:sz w:val="22"/>
                      <w:szCs w:val="22"/>
                    </w:rPr>
                  </w:pPr>
                  <w:r>
                    <w:rPr>
                      <w:rFonts w:hint="eastAsia" w:ascii="方正黑体_GBK" w:hAnsi="宋体" w:eastAsia="方正黑体_GBK" w:cs="宋体"/>
                      <w:b/>
                      <w:bCs/>
                      <w:color w:val="000000"/>
                      <w:kern w:val="0"/>
                      <w:sz w:val="22"/>
                      <w:szCs w:val="22"/>
                    </w:rPr>
                    <w:t>二级指标</w:t>
                  </w:r>
                </w:p>
              </w:tc>
              <w:tc>
                <w:tcPr>
                  <w:tcW w:w="3828" w:type="dxa"/>
                  <w:gridSpan w:val="3"/>
                  <w:tcBorders>
                    <w:top w:val="single" w:color="auto" w:sz="4" w:space="0"/>
                    <w:left w:val="nil"/>
                    <w:bottom w:val="single" w:color="auto" w:sz="4" w:space="0"/>
                    <w:right w:val="single" w:color="auto" w:sz="4" w:space="0"/>
                  </w:tcBorders>
                  <w:vAlign w:val="center"/>
                </w:tcPr>
                <w:p>
                  <w:pPr>
                    <w:widowControl/>
                    <w:jc w:val="center"/>
                    <w:rPr>
                      <w:rFonts w:ascii="方正黑体_GBK" w:hAnsi="宋体" w:eastAsia="方正黑体_GBK" w:cs="宋体"/>
                      <w:b/>
                      <w:bCs/>
                      <w:color w:val="000000"/>
                      <w:kern w:val="0"/>
                      <w:sz w:val="22"/>
                      <w:szCs w:val="22"/>
                    </w:rPr>
                  </w:pPr>
                  <w:r>
                    <w:rPr>
                      <w:rFonts w:hint="eastAsia" w:ascii="方正黑体_GBK" w:hAnsi="宋体" w:eastAsia="方正黑体_GBK" w:cs="宋体"/>
                      <w:b/>
                      <w:bCs/>
                      <w:color w:val="000000"/>
                      <w:kern w:val="0"/>
                      <w:sz w:val="22"/>
                      <w:szCs w:val="22"/>
                    </w:rPr>
                    <w:t xml:space="preserve"> 三级指标</w:t>
                  </w:r>
                </w:p>
              </w:tc>
              <w:tc>
                <w:tcPr>
                  <w:tcW w:w="1559"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
                      <w:bCs/>
                      <w:color w:val="000000"/>
                      <w:kern w:val="0"/>
                      <w:sz w:val="22"/>
                      <w:szCs w:val="22"/>
                    </w:rPr>
                  </w:pPr>
                  <w:r>
                    <w:rPr>
                      <w:rFonts w:hint="eastAsia" w:ascii="方正黑体_GBK" w:hAnsi="宋体" w:eastAsia="方正黑体_GBK" w:cs="宋体"/>
                      <w:b/>
                      <w:bCs/>
                      <w:color w:val="000000"/>
                      <w:kern w:val="0"/>
                      <w:sz w:val="22"/>
                      <w:szCs w:val="22"/>
                    </w:rPr>
                    <w:t>绩效指标性质</w:t>
                  </w:r>
                </w:p>
              </w:tc>
              <w:tc>
                <w:tcPr>
                  <w:tcW w:w="1701"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
                      <w:bCs/>
                      <w:color w:val="000000"/>
                      <w:kern w:val="0"/>
                      <w:sz w:val="22"/>
                      <w:szCs w:val="22"/>
                    </w:rPr>
                  </w:pPr>
                  <w:r>
                    <w:rPr>
                      <w:rFonts w:hint="eastAsia" w:ascii="方正黑体_GBK" w:hAnsi="宋体" w:eastAsia="方正黑体_GBK" w:cs="宋体"/>
                      <w:b/>
                      <w:bCs/>
                      <w:color w:val="000000"/>
                      <w:kern w:val="0"/>
                      <w:sz w:val="22"/>
                      <w:szCs w:val="22"/>
                    </w:rPr>
                    <w:t>绩效指标值</w:t>
                  </w:r>
                </w:p>
              </w:tc>
              <w:tc>
                <w:tcPr>
                  <w:tcW w:w="1276"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
                      <w:bCs/>
                      <w:color w:val="000000"/>
                      <w:kern w:val="0"/>
                      <w:sz w:val="22"/>
                      <w:szCs w:val="22"/>
                    </w:rPr>
                  </w:pPr>
                  <w:r>
                    <w:rPr>
                      <w:rFonts w:hint="eastAsia" w:ascii="方正黑体_GBK" w:hAnsi="宋体" w:eastAsia="方正黑体_GBK" w:cs="宋体"/>
                      <w:b/>
                      <w:bCs/>
                      <w:color w:val="000000"/>
                      <w:kern w:val="0"/>
                      <w:sz w:val="22"/>
                      <w:szCs w:val="22"/>
                    </w:rPr>
                    <w:t>绩效度量单位</w:t>
                  </w:r>
                </w:p>
              </w:tc>
              <w:tc>
                <w:tcPr>
                  <w:tcW w:w="1701" w:type="dxa"/>
                  <w:tcBorders>
                    <w:top w:val="nil"/>
                    <w:left w:val="nil"/>
                    <w:bottom w:val="single" w:color="auto" w:sz="4" w:space="0"/>
                    <w:right w:val="single" w:color="auto" w:sz="4" w:space="0"/>
                  </w:tcBorders>
                  <w:vAlign w:val="center"/>
                </w:tcPr>
                <w:p>
                  <w:pPr>
                    <w:widowControl/>
                    <w:jc w:val="center"/>
                    <w:rPr>
                      <w:rFonts w:ascii="方正黑体_GBK" w:hAnsi="宋体" w:eastAsia="方正黑体_GBK" w:cs="宋体"/>
                      <w:b/>
                      <w:bCs/>
                      <w:color w:val="000000"/>
                      <w:kern w:val="0"/>
                      <w:sz w:val="22"/>
                      <w:szCs w:val="22"/>
                    </w:rPr>
                  </w:pPr>
                  <w:r>
                    <w:rPr>
                      <w:rFonts w:hint="eastAsia" w:ascii="方正黑体_GBK" w:hAnsi="宋体" w:eastAsia="方正黑体_GBK" w:cs="宋体"/>
                      <w:b/>
                      <w:bCs/>
                      <w:color w:val="000000"/>
                      <w:kern w:val="0"/>
                      <w:sz w:val="22"/>
                      <w:szCs w:val="22"/>
                    </w:rPr>
                    <w:t>权重</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b/>
                      <w:bCs/>
                      <w:color w:val="000000"/>
                      <w:kern w:val="0"/>
                      <w:sz w:val="24"/>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3828"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司法机关业务装备配备数量</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批</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政府购买社区矫正社会工作者服务</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34</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名</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支持法律援助办案数量</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700</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件</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支持区县政法部门数量</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个</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支持人民调解案件数量</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2000</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件</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支持政法部门办案（业务）数量</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批</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质量指标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法律援助援助率(法律援助案件受援人数/全市常住人口数）</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0.1</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质量指标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法治建设，严格落实重大行政决策程序制度,公布行政规范性文件制定主体，开展规范性文件专项清理，审核区政府规范性文件，向市司法局报备，合法合规率达到100%。</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100</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质量指标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普法宣传，深入推进宪法、民法典法治宣传，大力开展“三大攻坚战”“服务民营经济”等专项法治宣传活动，开展“法律八进”活动，覆盖面达到85%。</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85</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质量指标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人民调解案件成功率</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95</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时效指标</w:t>
                  </w:r>
                </w:p>
              </w:tc>
              <w:tc>
                <w:tcPr>
                  <w:tcW w:w="3828"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业务装备采购及时性</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90</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时效指标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资金拨付及时性</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90</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效益指标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社会效益指标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引导地方公检法司部门经费保障水平，充分发挥专款的使用效益，推动司法行政工作的发展。经费保障达到95%以上。</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95</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效益指标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可持续发展指标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社区矫正工作，在判决、裁定或决定确定的期限内，矫正其犯罪心理和行为恶习，使其顺利回归社区，维护社会安定和谐。大大降低社区矫正人员再犯罪率。</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0.2</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满意度指标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服务对象满意度指标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调解对象满意度</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98</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满意度指标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服务对象满意度指标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法律援助受援对象满意度</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98</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满意度指标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服务对象满意度指标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群众对司法行政工作的满意度</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90</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满意度指标</w:t>
                  </w:r>
                </w:p>
              </w:tc>
              <w:tc>
                <w:tcPr>
                  <w:tcW w:w="311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服务对象满意度指标</w:t>
                  </w:r>
                </w:p>
              </w:tc>
              <w:tc>
                <w:tcPr>
                  <w:tcW w:w="3828" w:type="dxa"/>
                  <w:gridSpan w:val="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社区矫正对象满意度</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r>
          </w:tbl>
          <w:p>
            <w:pPr>
              <w:widowControl/>
              <w:jc w:val="center"/>
              <w:rPr>
                <w:rFonts w:eastAsia="方正小标宋_GBK"/>
                <w:bCs/>
                <w:color w:val="000000"/>
                <w:kern w:val="0"/>
                <w:sz w:val="36"/>
                <w:szCs w:val="36"/>
              </w:rPr>
            </w:pPr>
          </w:p>
        </w:tc>
      </w:tr>
      <w:tr>
        <w:tblPrEx>
          <w:tblCellMar>
            <w:top w:w="0" w:type="dxa"/>
            <w:left w:w="108" w:type="dxa"/>
            <w:bottom w:w="0" w:type="dxa"/>
            <w:right w:w="108" w:type="dxa"/>
          </w:tblCellMar>
        </w:tblPrEx>
        <w:trPr>
          <w:trHeight w:val="390" w:hRule="atLeast"/>
        </w:trPr>
        <w:tc>
          <w:tcPr>
            <w:tcW w:w="2283" w:type="dxa"/>
            <w:tcBorders>
              <w:top w:val="nil"/>
              <w:left w:val="nil"/>
              <w:bottom w:val="nil"/>
              <w:right w:val="nil"/>
            </w:tcBorders>
            <w:vAlign w:val="center"/>
          </w:tcPr>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p>
            <w:pPr>
              <w:widowControl/>
              <w:jc w:val="center"/>
              <w:rPr>
                <w:b/>
                <w:bCs/>
                <w:kern w:val="0"/>
                <w:sz w:val="36"/>
                <w:szCs w:val="36"/>
              </w:rPr>
            </w:pPr>
          </w:p>
        </w:tc>
        <w:tc>
          <w:tcPr>
            <w:tcW w:w="2817" w:type="dxa"/>
            <w:tcBorders>
              <w:top w:val="nil"/>
              <w:left w:val="nil"/>
              <w:bottom w:val="nil"/>
              <w:right w:val="nil"/>
            </w:tcBorders>
            <w:vAlign w:val="center"/>
          </w:tcPr>
          <w:p>
            <w:pPr>
              <w:widowControl/>
              <w:jc w:val="center"/>
              <w:rPr>
                <w:b/>
                <w:bCs/>
                <w:kern w:val="0"/>
                <w:sz w:val="36"/>
                <w:szCs w:val="36"/>
              </w:rPr>
            </w:pPr>
          </w:p>
        </w:tc>
        <w:tc>
          <w:tcPr>
            <w:tcW w:w="2340" w:type="dxa"/>
            <w:tcBorders>
              <w:top w:val="nil"/>
              <w:left w:val="nil"/>
              <w:bottom w:val="nil"/>
              <w:right w:val="nil"/>
            </w:tcBorders>
            <w:vAlign w:val="center"/>
          </w:tcPr>
          <w:p>
            <w:pPr>
              <w:widowControl/>
              <w:jc w:val="center"/>
              <w:rPr>
                <w:b/>
                <w:bCs/>
                <w:kern w:val="0"/>
                <w:sz w:val="36"/>
                <w:szCs w:val="36"/>
              </w:rPr>
            </w:pPr>
          </w:p>
        </w:tc>
        <w:tc>
          <w:tcPr>
            <w:tcW w:w="2340" w:type="dxa"/>
            <w:tcBorders>
              <w:top w:val="nil"/>
              <w:left w:val="nil"/>
              <w:bottom w:val="nil"/>
              <w:right w:val="nil"/>
            </w:tcBorders>
            <w:vAlign w:val="center"/>
          </w:tcPr>
          <w:p>
            <w:pPr>
              <w:widowControl/>
              <w:jc w:val="center"/>
              <w:rPr>
                <w:b/>
                <w:bCs/>
                <w:kern w:val="0"/>
                <w:sz w:val="36"/>
                <w:szCs w:val="36"/>
              </w:rPr>
            </w:pPr>
          </w:p>
        </w:tc>
        <w:tc>
          <w:tcPr>
            <w:tcW w:w="2340" w:type="dxa"/>
            <w:tcBorders>
              <w:top w:val="nil"/>
              <w:left w:val="nil"/>
              <w:bottom w:val="nil"/>
              <w:right w:val="nil"/>
            </w:tcBorders>
            <w:vAlign w:val="center"/>
          </w:tcPr>
          <w:p>
            <w:pPr>
              <w:widowControl/>
              <w:jc w:val="center"/>
              <w:rPr>
                <w:b/>
                <w:bCs/>
                <w:kern w:val="0"/>
                <w:sz w:val="36"/>
                <w:szCs w:val="36"/>
              </w:rPr>
            </w:pPr>
          </w:p>
        </w:tc>
        <w:tc>
          <w:tcPr>
            <w:tcW w:w="1787" w:type="dxa"/>
            <w:tcBorders>
              <w:top w:val="nil"/>
              <w:left w:val="nil"/>
              <w:bottom w:val="nil"/>
              <w:right w:val="nil"/>
            </w:tcBorders>
            <w:vAlign w:val="center"/>
          </w:tcPr>
          <w:p>
            <w:pPr>
              <w:widowControl/>
              <w:jc w:val="center"/>
              <w:rPr>
                <w:kern w:val="0"/>
                <w:sz w:val="22"/>
                <w:szCs w:val="22"/>
              </w:rPr>
            </w:pPr>
          </w:p>
        </w:tc>
      </w:tr>
    </w:tbl>
    <w:p>
      <w:pPr>
        <w:widowControl/>
        <w:snapToGrid w:val="0"/>
        <w:spacing w:line="560" w:lineRule="exact"/>
        <w:jc w:val="left"/>
        <w:rPr>
          <w:rFonts w:eastAsia="方正黑体_GBK"/>
          <w:kern w:val="0"/>
          <w:sz w:val="32"/>
          <w:szCs w:val="32"/>
        </w:rPr>
      </w:pPr>
      <w:r>
        <w:rPr>
          <w:rFonts w:eastAsia="方正黑体_GBK"/>
          <w:kern w:val="0"/>
          <w:sz w:val="32"/>
          <w:szCs w:val="32"/>
        </w:rPr>
        <w:t>附件3-11</w:t>
      </w:r>
    </w:p>
    <w:p>
      <w:pPr>
        <w:widowControl/>
        <w:snapToGrid w:val="0"/>
        <w:spacing w:line="560" w:lineRule="exact"/>
        <w:jc w:val="center"/>
        <w:rPr>
          <w:rFonts w:eastAsia="方正仿宋_GBK"/>
          <w:kern w:val="0"/>
          <w:sz w:val="32"/>
          <w:szCs w:val="32"/>
        </w:rPr>
      </w:pPr>
      <w:r>
        <w:rPr>
          <w:rFonts w:eastAsia="方正小标宋_GBK"/>
          <w:bCs/>
          <w:color w:val="000000"/>
          <w:kern w:val="0"/>
          <w:sz w:val="36"/>
          <w:szCs w:val="36"/>
        </w:rPr>
        <w:t>2023年项目绩效目标表</w:t>
      </w:r>
    </w:p>
    <w:tbl>
      <w:tblPr>
        <w:tblStyle w:val="19"/>
        <w:tblpPr w:leftFromText="180" w:rightFromText="180" w:vertAnchor="text" w:horzAnchor="margin" w:tblpY="282"/>
        <w:tblOverlap w:val="never"/>
        <w:tblW w:w="14709" w:type="dxa"/>
        <w:tblInd w:w="0" w:type="dxa"/>
        <w:tblLayout w:type="autofit"/>
        <w:tblCellMar>
          <w:top w:w="0" w:type="dxa"/>
          <w:left w:w="108" w:type="dxa"/>
          <w:bottom w:w="0" w:type="dxa"/>
          <w:right w:w="108" w:type="dxa"/>
        </w:tblCellMar>
      </w:tblPr>
      <w:tblGrid>
        <w:gridCol w:w="1730"/>
        <w:gridCol w:w="1276"/>
        <w:gridCol w:w="989"/>
        <w:gridCol w:w="428"/>
        <w:gridCol w:w="1276"/>
        <w:gridCol w:w="142"/>
        <w:gridCol w:w="1134"/>
        <w:gridCol w:w="850"/>
        <w:gridCol w:w="1286"/>
        <w:gridCol w:w="151"/>
        <w:gridCol w:w="983"/>
        <w:gridCol w:w="851"/>
        <w:gridCol w:w="141"/>
        <w:gridCol w:w="567"/>
        <w:gridCol w:w="851"/>
        <w:gridCol w:w="1213"/>
        <w:gridCol w:w="851"/>
      </w:tblGrid>
      <w:tr>
        <w:tblPrEx>
          <w:tblCellMar>
            <w:top w:w="0" w:type="dxa"/>
            <w:left w:w="108" w:type="dxa"/>
            <w:bottom w:w="0" w:type="dxa"/>
            <w:right w:w="108" w:type="dxa"/>
          </w:tblCellMar>
        </w:tblPrEx>
        <w:trPr>
          <w:trHeight w:val="510" w:hRule="atLeast"/>
        </w:trPr>
        <w:tc>
          <w:tcPr>
            <w:tcW w:w="1730"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单位信息：</w:t>
            </w:r>
          </w:p>
        </w:tc>
        <w:tc>
          <w:tcPr>
            <w:tcW w:w="226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124001-重庆市梁平区司法局（本级）</w:t>
            </w:r>
          </w:p>
        </w:tc>
        <w:tc>
          <w:tcPr>
            <w:tcW w:w="1846" w:type="dxa"/>
            <w:gridSpan w:val="3"/>
            <w:tcBorders>
              <w:top w:val="single" w:color="auto" w:sz="4" w:space="0"/>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预算项目：</w:t>
            </w:r>
          </w:p>
        </w:tc>
        <w:tc>
          <w:tcPr>
            <w:tcW w:w="3411"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50015522T000000097381-购买社区矫正社会工作者经费</w:t>
            </w:r>
          </w:p>
        </w:tc>
        <w:tc>
          <w:tcPr>
            <w:tcW w:w="1834" w:type="dxa"/>
            <w:gridSpan w:val="2"/>
            <w:tcBorders>
              <w:top w:val="single" w:color="auto" w:sz="4" w:space="0"/>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职能职责与活动：</w:t>
            </w:r>
          </w:p>
        </w:tc>
        <w:tc>
          <w:tcPr>
            <w:tcW w:w="3623"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指导、管理社区矫正工作。做好社区矫正社会工作者的监督管理。</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主管部门：</w:t>
            </w:r>
          </w:p>
        </w:tc>
        <w:tc>
          <w:tcPr>
            <w:tcW w:w="226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124-重庆市梁平区司法局</w:t>
            </w:r>
          </w:p>
        </w:tc>
        <w:tc>
          <w:tcPr>
            <w:tcW w:w="1846" w:type="dxa"/>
            <w:gridSpan w:val="3"/>
            <w:tcBorders>
              <w:top w:val="nil"/>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项目经办人：</w:t>
            </w:r>
          </w:p>
        </w:tc>
        <w:tc>
          <w:tcPr>
            <w:tcW w:w="3411"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34" w:type="dxa"/>
            <w:gridSpan w:val="2"/>
            <w:tcBorders>
              <w:top w:val="single" w:color="auto" w:sz="4" w:space="0"/>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项目总额：</w:t>
            </w:r>
          </w:p>
        </w:tc>
        <w:tc>
          <w:tcPr>
            <w:tcW w:w="2772" w:type="dxa"/>
            <w:gridSpan w:val="4"/>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136.00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预算执行率权重：</w:t>
            </w:r>
          </w:p>
        </w:tc>
        <w:tc>
          <w:tcPr>
            <w:tcW w:w="226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10</w:t>
            </w:r>
          </w:p>
        </w:tc>
        <w:tc>
          <w:tcPr>
            <w:tcW w:w="1846" w:type="dxa"/>
            <w:gridSpan w:val="3"/>
            <w:tcBorders>
              <w:top w:val="nil"/>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项目经办人电话：</w:t>
            </w:r>
          </w:p>
        </w:tc>
        <w:tc>
          <w:tcPr>
            <w:tcW w:w="3411"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542" w:type="dxa"/>
            <w:gridSpan w:val="4"/>
            <w:tcBorders>
              <w:top w:val="single" w:color="auto" w:sz="4" w:space="0"/>
              <w:left w:val="nil"/>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其中: 财政资金：</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136.00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restart"/>
            <w:tcBorders>
              <w:top w:val="nil"/>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年度目标：</w:t>
            </w:r>
          </w:p>
        </w:tc>
        <w:tc>
          <w:tcPr>
            <w:tcW w:w="7522" w:type="dxa"/>
            <w:gridSpan w:val="9"/>
            <w:vMerge w:val="restart"/>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0"/>
                <w:szCs w:val="20"/>
              </w:rPr>
            </w:pPr>
            <w:r>
              <w:rPr>
                <w:rFonts w:hint="eastAsia" w:ascii="宋体" w:hAnsi="宋体" w:cs="宋体"/>
                <w:kern w:val="0"/>
                <w:sz w:val="20"/>
                <w:szCs w:val="20"/>
              </w:rPr>
              <w:t>　加强社区矫正工作。</w:t>
            </w:r>
          </w:p>
        </w:tc>
        <w:tc>
          <w:tcPr>
            <w:tcW w:w="2542" w:type="dxa"/>
            <w:gridSpan w:val="4"/>
            <w:tcBorders>
              <w:top w:val="single" w:color="auto" w:sz="4" w:space="0"/>
              <w:left w:val="nil"/>
              <w:bottom w:val="single" w:color="auto" w:sz="4" w:space="0"/>
              <w:right w:val="single" w:color="auto" w:sz="4" w:space="0"/>
            </w:tcBorders>
            <w:vAlign w:val="center"/>
          </w:tcPr>
          <w:p>
            <w:pPr>
              <w:widowControl/>
              <w:ind w:firstLine="600" w:firstLineChars="300"/>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财政专户管理资金：</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522"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42" w:type="dxa"/>
            <w:gridSpan w:val="4"/>
            <w:tcBorders>
              <w:top w:val="single" w:color="auto" w:sz="4" w:space="0"/>
              <w:left w:val="nil"/>
              <w:bottom w:val="single" w:color="auto" w:sz="4" w:space="0"/>
              <w:right w:val="single" w:color="auto" w:sz="4" w:space="0"/>
            </w:tcBorders>
            <w:vAlign w:val="center"/>
          </w:tcPr>
          <w:p>
            <w:pPr>
              <w:widowControl/>
              <w:ind w:firstLine="600" w:firstLineChars="300"/>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单位资金：</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522"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42" w:type="dxa"/>
            <w:gridSpan w:val="4"/>
            <w:tcBorders>
              <w:top w:val="single" w:color="auto" w:sz="4" w:space="0"/>
              <w:left w:val="nil"/>
              <w:bottom w:val="single" w:color="auto" w:sz="4" w:space="0"/>
              <w:right w:val="single" w:color="auto" w:sz="4" w:space="0"/>
            </w:tcBorders>
            <w:vAlign w:val="center"/>
          </w:tcPr>
          <w:p>
            <w:pPr>
              <w:widowControl/>
              <w:ind w:firstLine="600" w:firstLineChars="300"/>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社会投入资金：</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522"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42" w:type="dxa"/>
            <w:gridSpan w:val="4"/>
            <w:tcBorders>
              <w:top w:val="single" w:color="auto" w:sz="4" w:space="0"/>
              <w:left w:val="nil"/>
              <w:bottom w:val="single" w:color="auto" w:sz="4" w:space="0"/>
              <w:right w:val="single" w:color="auto" w:sz="4" w:space="0"/>
            </w:tcBorders>
            <w:vAlign w:val="center"/>
          </w:tcPr>
          <w:p>
            <w:pPr>
              <w:widowControl/>
              <w:ind w:firstLine="600" w:firstLineChars="300"/>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银行贷款：</w:t>
            </w:r>
          </w:p>
        </w:tc>
        <w:tc>
          <w:tcPr>
            <w:tcW w:w="2064"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一级指标</w:t>
            </w:r>
          </w:p>
        </w:tc>
        <w:tc>
          <w:tcPr>
            <w:tcW w:w="1276" w:type="dxa"/>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二级指标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三级指标</w:t>
            </w:r>
          </w:p>
        </w:tc>
        <w:tc>
          <w:tcPr>
            <w:tcW w:w="1276" w:type="dxa"/>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指标性质</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历史参考值</w:t>
            </w:r>
          </w:p>
        </w:tc>
        <w:tc>
          <w:tcPr>
            <w:tcW w:w="850" w:type="dxa"/>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指标值</w:t>
            </w:r>
          </w:p>
        </w:tc>
        <w:tc>
          <w:tcPr>
            <w:tcW w:w="1276" w:type="dxa"/>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本年指标值</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度量单位</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权重(%)</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本年权重(%)</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center"/>
              <w:rPr>
                <w:rFonts w:ascii="方正黑体_GBK" w:hAnsi="宋体" w:eastAsia="方正黑体_GBK" w:cs="宋体"/>
                <w:kern w:val="0"/>
                <w:sz w:val="20"/>
                <w:szCs w:val="20"/>
              </w:rPr>
            </w:pPr>
            <w:r>
              <w:rPr>
                <w:rFonts w:hint="eastAsia" w:ascii="方正黑体_GBK" w:hAnsi="宋体" w:eastAsia="方正黑体_GBK" w:cs="宋体"/>
                <w:kern w:val="0"/>
                <w:sz w:val="20"/>
                <w:szCs w:val="20"/>
              </w:rPr>
              <w:t>指标方向性</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产出指标</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数量指标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购买34名社区矫正工作者服务。</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color w:val="000000"/>
                <w:kern w:val="0"/>
                <w:sz w:val="22"/>
                <w:szCs w:val="22"/>
              </w:rPr>
              <w:t>≥</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7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34　</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人/年</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25　</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ascii="方正黑体_GBK" w:hAnsi="宋体" w:eastAsia="方正黑体_GBK" w:cs="宋体"/>
                <w:kern w:val="0"/>
                <w:sz w:val="20"/>
                <w:szCs w:val="20"/>
              </w:rPr>
            </w:pPr>
            <w:r>
              <w:rPr>
                <w:rFonts w:hint="eastAsia" w:ascii="方正黑体_GBK" w:hAnsi="宋体" w:eastAsia="方正黑体_GBK" w:cs="宋体"/>
                <w:kern w:val="0"/>
                <w:sz w:val="20"/>
                <w:szCs w:val="20"/>
              </w:rPr>
              <w:t>产出指标</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质量指标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实现全区社区矫正对象无脱漏管和重新犯罪情况。</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color w:val="000000"/>
                <w:kern w:val="0"/>
                <w:sz w:val="22"/>
                <w:szCs w:val="22"/>
              </w:rPr>
              <w:t>≤</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7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0.2　</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r>
              <w:rPr>
                <w:rFonts w:ascii="宋体" w:hAnsi="宋体" w:cs="宋体"/>
                <w:color w:val="000000"/>
                <w:kern w:val="0"/>
                <w:sz w:val="22"/>
                <w:szCs w:val="22"/>
              </w:rPr>
              <w:t>%</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25　</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ascii="方正黑体_GBK" w:hAnsi="宋体" w:eastAsia="方正黑体_GBK" w:cs="宋体"/>
                <w:kern w:val="0"/>
                <w:sz w:val="20"/>
                <w:szCs w:val="20"/>
              </w:rPr>
            </w:pPr>
            <w:r>
              <w:rPr>
                <w:rFonts w:ascii="方正黑体_GBK" w:hAnsi="宋体" w:eastAsia="方正黑体_GBK" w:cs="宋体"/>
                <w:kern w:val="0"/>
                <w:sz w:val="20"/>
                <w:szCs w:val="20"/>
              </w:rPr>
              <w:t>效益指标</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经济效益指标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减少刑罚执行成本，缓解监狱压力，有利于为国家节约大量的财政资源。</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ascii="宋体" w:hAnsi="宋体" w:cs="宋体"/>
                <w:kern w:val="0"/>
                <w:sz w:val="20"/>
                <w:szCs w:val="20"/>
              </w:rPr>
              <w:t>定性</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noWrap/>
            <w:vAlign w:val="center"/>
          </w:tcPr>
          <w:p>
            <w:pPr>
              <w:widowControl/>
              <w:ind w:right="400"/>
              <w:jc w:val="right"/>
              <w:rPr>
                <w:rFonts w:ascii="宋体" w:hAnsi="宋体" w:cs="宋体"/>
                <w:kern w:val="0"/>
                <w:sz w:val="20"/>
                <w:szCs w:val="20"/>
              </w:rPr>
            </w:pPr>
            <w:r>
              <w:rPr>
                <w:rFonts w:hint="eastAsia" w:ascii="宋体" w:hAnsi="宋体" w:cs="宋体"/>
                <w:kern w:val="0"/>
                <w:sz w:val="20"/>
                <w:szCs w:val="20"/>
              </w:rPr>
              <w:t>　</w:t>
            </w:r>
          </w:p>
        </w:tc>
        <w:tc>
          <w:tcPr>
            <w:tcW w:w="127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优良中低差　</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元/个/年</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15　</w:t>
            </w:r>
          </w:p>
        </w:tc>
        <w:tc>
          <w:tcPr>
            <w:tcW w:w="2064"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ascii="方正黑体_GBK" w:hAnsi="Arial" w:eastAsia="方正黑体_GBK" w:cs="Arial"/>
                <w:kern w:val="0"/>
                <w:sz w:val="18"/>
                <w:szCs w:val="18"/>
              </w:rPr>
            </w:pPr>
            <w:r>
              <w:rPr>
                <w:rFonts w:ascii="方正黑体_GBK" w:hAnsi="宋体" w:eastAsia="方正黑体_GBK" w:cs="宋体"/>
                <w:kern w:val="0"/>
                <w:sz w:val="20"/>
                <w:szCs w:val="20"/>
              </w:rPr>
              <w:t>效益指标</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社会效益指标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有效的预防犯罪，减少危害社会和谐不安定因素。</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hint="eastAsia" w:ascii="Arial" w:hAnsi="Arial" w:eastAsia="等线" w:cs="Arial"/>
                <w:kern w:val="0"/>
                <w:sz w:val="18"/>
                <w:szCs w:val="18"/>
              </w:rPr>
              <w:t xml:space="preserve">     =</w:t>
            </w:r>
          </w:p>
        </w:tc>
        <w:tc>
          <w:tcPr>
            <w:tcW w:w="1276"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p>
        </w:tc>
        <w:tc>
          <w:tcPr>
            <w:tcW w:w="850" w:type="dxa"/>
            <w:tcBorders>
              <w:top w:val="nil"/>
              <w:left w:val="nil"/>
              <w:bottom w:val="single" w:color="auto" w:sz="4" w:space="0"/>
              <w:right w:val="single" w:color="auto" w:sz="4" w:space="0"/>
            </w:tcBorders>
            <w:noWrap/>
            <w:vAlign w:val="center"/>
          </w:tcPr>
          <w:p>
            <w:pPr>
              <w:widowControl/>
              <w:ind w:firstLine="180" w:firstLineChars="100"/>
              <w:jc w:val="left"/>
              <w:rPr>
                <w:rFonts w:ascii="Arial" w:hAnsi="Arial" w:eastAsia="等线" w:cs="Arial"/>
                <w:kern w:val="0"/>
                <w:sz w:val="18"/>
                <w:szCs w:val="18"/>
              </w:rPr>
            </w:pP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hint="eastAsia" w:ascii="Arial" w:hAnsi="Arial" w:eastAsia="等线" w:cs="Arial"/>
                <w:kern w:val="0"/>
                <w:sz w:val="18"/>
                <w:szCs w:val="18"/>
              </w:rPr>
              <w:t xml:space="preserve">          1</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hint="eastAsia" w:ascii="Arial" w:hAnsi="Arial" w:eastAsia="等线" w:cs="Arial"/>
                <w:kern w:val="0"/>
                <w:sz w:val="18"/>
                <w:szCs w:val="18"/>
              </w:rPr>
              <w:t xml:space="preserve">      年</w:t>
            </w:r>
          </w:p>
        </w:tc>
        <w:tc>
          <w:tcPr>
            <w:tcW w:w="992"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p>
        </w:tc>
        <w:tc>
          <w:tcPr>
            <w:tcW w:w="1418"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hint="eastAsia" w:ascii="Arial" w:hAnsi="Arial" w:eastAsia="等线" w:cs="Arial"/>
                <w:kern w:val="0"/>
                <w:sz w:val="18"/>
                <w:szCs w:val="18"/>
              </w:rPr>
              <w:t xml:space="preserve">    15</w:t>
            </w:r>
          </w:p>
        </w:tc>
        <w:tc>
          <w:tcPr>
            <w:tcW w:w="2064"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noWrap/>
            <w:vAlign w:val="center"/>
          </w:tcPr>
          <w:p>
            <w:pPr>
              <w:widowControl/>
              <w:jc w:val="left"/>
              <w:rPr>
                <w:rFonts w:ascii="方正黑体_GBK" w:hAnsi="Arial" w:eastAsia="方正黑体_GBK" w:cs="Arial"/>
                <w:kern w:val="0"/>
                <w:sz w:val="18"/>
                <w:szCs w:val="18"/>
              </w:rPr>
            </w:pPr>
            <w:r>
              <w:rPr>
                <w:rFonts w:hint="eastAsia" w:ascii="方正黑体_GBK" w:hAnsi="宋体" w:eastAsia="方正黑体_GBK" w:cs="宋体"/>
                <w:kern w:val="0"/>
                <w:sz w:val="20"/>
                <w:szCs w:val="20"/>
              </w:rPr>
              <w:t>满意度指标</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服务对象满意度指标</w:t>
            </w:r>
          </w:p>
        </w:tc>
        <w:tc>
          <w:tcPr>
            <w:tcW w:w="1417"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解决被矫正对象的后顾之忧，有利于犯罪人回归社会，得到社会各界的认可。</w:t>
            </w:r>
          </w:p>
        </w:tc>
        <w:tc>
          <w:tcPr>
            <w:tcW w:w="1276"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 xml:space="preserve">   </w:t>
            </w:r>
            <w:r>
              <w:rPr>
                <w:rFonts w:hint="eastAsia" w:ascii="宋体" w:hAnsi="宋体" w:cs="宋体"/>
                <w:color w:val="000000"/>
                <w:kern w:val="0"/>
                <w:sz w:val="22"/>
                <w:szCs w:val="22"/>
              </w:rPr>
              <w:t>≥</w:t>
            </w:r>
          </w:p>
        </w:tc>
        <w:tc>
          <w:tcPr>
            <w:tcW w:w="1276"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p>
        </w:tc>
        <w:tc>
          <w:tcPr>
            <w:tcW w:w="850" w:type="dxa"/>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p>
        </w:tc>
        <w:tc>
          <w:tcPr>
            <w:tcW w:w="1276" w:type="dxa"/>
            <w:tcBorders>
              <w:top w:val="nil"/>
              <w:left w:val="nil"/>
              <w:bottom w:val="single" w:color="auto" w:sz="4" w:space="0"/>
              <w:right w:val="single" w:color="auto" w:sz="4" w:space="0"/>
            </w:tcBorders>
            <w:noWrap/>
            <w:vAlign w:val="center"/>
          </w:tcPr>
          <w:p>
            <w:pPr>
              <w:widowControl/>
              <w:ind w:left="720" w:hanging="720" w:hangingChars="400"/>
              <w:jc w:val="left"/>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 xml:space="preserve">         92</w:t>
            </w:r>
          </w:p>
        </w:tc>
        <w:tc>
          <w:tcPr>
            <w:tcW w:w="1134" w:type="dxa"/>
            <w:gridSpan w:val="2"/>
            <w:tcBorders>
              <w:top w:val="nil"/>
              <w:left w:val="nil"/>
              <w:bottom w:val="single" w:color="auto" w:sz="4" w:space="0"/>
              <w:right w:val="single" w:color="auto" w:sz="4" w:space="0"/>
            </w:tcBorders>
            <w:noWrap/>
            <w:vAlign w:val="center"/>
          </w:tcPr>
          <w:p>
            <w:pPr>
              <w:widowControl/>
              <w:jc w:val="left"/>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 xml:space="preserve">    </w:t>
            </w:r>
            <w:r>
              <w:rPr>
                <w:rFonts w:ascii="宋体" w:hAnsi="宋体" w:cs="宋体"/>
                <w:color w:val="000000"/>
                <w:kern w:val="0"/>
                <w:sz w:val="22"/>
                <w:szCs w:val="22"/>
              </w:rPr>
              <w:t>%</w:t>
            </w:r>
          </w:p>
        </w:tc>
        <w:tc>
          <w:tcPr>
            <w:tcW w:w="992"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ascii="Arial" w:hAnsi="Arial" w:eastAsia="等线" w:cs="Arial"/>
                <w:kern w:val="0"/>
                <w:sz w:val="18"/>
                <w:szCs w:val="18"/>
              </w:rPr>
              <w:t>　</w:t>
            </w:r>
          </w:p>
        </w:tc>
        <w:tc>
          <w:tcPr>
            <w:tcW w:w="1418"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ascii="Arial" w:hAnsi="Arial" w:eastAsia="等线" w:cs="Arial"/>
                <w:kern w:val="0"/>
                <w:sz w:val="18"/>
                <w:szCs w:val="18"/>
              </w:rPr>
              <w:t>　</w:t>
            </w:r>
            <w:r>
              <w:rPr>
                <w:rFonts w:hint="eastAsia" w:ascii="Arial" w:hAnsi="Arial" w:eastAsia="等线" w:cs="Arial"/>
                <w:kern w:val="0"/>
                <w:sz w:val="18"/>
                <w:szCs w:val="18"/>
              </w:rPr>
              <w:t xml:space="preserve">  10</w:t>
            </w:r>
          </w:p>
        </w:tc>
        <w:tc>
          <w:tcPr>
            <w:tcW w:w="2064" w:type="dxa"/>
            <w:gridSpan w:val="2"/>
            <w:tcBorders>
              <w:top w:val="single" w:color="auto" w:sz="4" w:space="0"/>
              <w:left w:val="nil"/>
              <w:bottom w:val="single" w:color="auto" w:sz="4" w:space="0"/>
              <w:right w:val="single" w:color="000000" w:sz="4" w:space="0"/>
            </w:tcBorders>
            <w:noWrap/>
            <w:vAlign w:val="center"/>
          </w:tcPr>
          <w:p>
            <w:pPr>
              <w:widowControl/>
              <w:jc w:val="center"/>
              <w:rPr>
                <w:rFonts w:ascii="Arial" w:hAnsi="Arial" w:eastAsia="等线" w:cs="Arial"/>
                <w:kern w:val="0"/>
                <w:sz w:val="18"/>
                <w:szCs w:val="18"/>
              </w:rPr>
            </w:pPr>
            <w:r>
              <w:rPr>
                <w:rFonts w:ascii="Arial" w:hAnsi="Arial" w:eastAsia="等线" w:cs="Arial"/>
                <w:kern w:val="0"/>
                <w:sz w:val="18"/>
                <w:szCs w:val="18"/>
              </w:rPr>
              <w:t>　</w:t>
            </w:r>
          </w:p>
        </w:tc>
      </w:tr>
    </w:tbl>
    <w:p>
      <w:pPr>
        <w:widowControl/>
        <w:snapToGrid w:val="0"/>
        <w:spacing w:line="560" w:lineRule="exact"/>
        <w:jc w:val="left"/>
        <w:rPr>
          <w:rFonts w:eastAsia="方正仿宋_GBK"/>
          <w:kern w:val="0"/>
          <w:sz w:val="32"/>
          <w:szCs w:val="32"/>
        </w:rPr>
        <w:sectPr>
          <w:pgSz w:w="16840" w:h="11907" w:orient="landscape"/>
          <w:pgMar w:top="1134" w:right="1134" w:bottom="1134" w:left="1134" w:header="851" w:footer="851"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楷体_GBK">
    <w:panose1 w:val="02000000000000000000"/>
    <w:charset w:val="86"/>
    <w:family w:val="script"/>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sz w:val="28"/>
        <w:szCs w:val="28"/>
      </w:rPr>
      <w:t>一</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22</w:t>
    </w:r>
    <w:r>
      <w:rPr>
        <w:sz w:val="28"/>
        <w:szCs w:val="28"/>
      </w:rPr>
      <w:fldChar w:fldCharType="end"/>
    </w:r>
    <w:r>
      <w:rPr>
        <w:sz w:val="28"/>
        <w:szCs w:val="28"/>
      </w:rPr>
      <w:t>一</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E2"/>
    <w:rsid w:val="000713DF"/>
    <w:rsid w:val="000749C0"/>
    <w:rsid w:val="000A1751"/>
    <w:rsid w:val="000D77F5"/>
    <w:rsid w:val="001004F6"/>
    <w:rsid w:val="0012143E"/>
    <w:rsid w:val="00133BCF"/>
    <w:rsid w:val="00164DC7"/>
    <w:rsid w:val="001A5463"/>
    <w:rsid w:val="001C29A6"/>
    <w:rsid w:val="00231E96"/>
    <w:rsid w:val="0027052A"/>
    <w:rsid w:val="00272949"/>
    <w:rsid w:val="0027700B"/>
    <w:rsid w:val="002B11EF"/>
    <w:rsid w:val="002E5742"/>
    <w:rsid w:val="002F4A84"/>
    <w:rsid w:val="00302740"/>
    <w:rsid w:val="0032012B"/>
    <w:rsid w:val="00357B77"/>
    <w:rsid w:val="00387763"/>
    <w:rsid w:val="0039020E"/>
    <w:rsid w:val="003B6D7E"/>
    <w:rsid w:val="003D4E55"/>
    <w:rsid w:val="003D6B27"/>
    <w:rsid w:val="00496EBB"/>
    <w:rsid w:val="004B413D"/>
    <w:rsid w:val="004C2173"/>
    <w:rsid w:val="004D37FE"/>
    <w:rsid w:val="004F56AD"/>
    <w:rsid w:val="005138BB"/>
    <w:rsid w:val="00584E1D"/>
    <w:rsid w:val="00586563"/>
    <w:rsid w:val="00593CCD"/>
    <w:rsid w:val="006133E2"/>
    <w:rsid w:val="006A62EE"/>
    <w:rsid w:val="006B298B"/>
    <w:rsid w:val="006B7B60"/>
    <w:rsid w:val="006E57BD"/>
    <w:rsid w:val="006F4049"/>
    <w:rsid w:val="007231B4"/>
    <w:rsid w:val="00723EF8"/>
    <w:rsid w:val="007413FB"/>
    <w:rsid w:val="00745188"/>
    <w:rsid w:val="007760C3"/>
    <w:rsid w:val="00781692"/>
    <w:rsid w:val="00794D42"/>
    <w:rsid w:val="007E0BE9"/>
    <w:rsid w:val="007E38C7"/>
    <w:rsid w:val="00821EC3"/>
    <w:rsid w:val="0082422C"/>
    <w:rsid w:val="00873AE6"/>
    <w:rsid w:val="00877C7A"/>
    <w:rsid w:val="008852F4"/>
    <w:rsid w:val="008919BE"/>
    <w:rsid w:val="008A6C33"/>
    <w:rsid w:val="008D2591"/>
    <w:rsid w:val="008D2CF4"/>
    <w:rsid w:val="008D3660"/>
    <w:rsid w:val="00982856"/>
    <w:rsid w:val="009A66E3"/>
    <w:rsid w:val="009A7A33"/>
    <w:rsid w:val="009D3833"/>
    <w:rsid w:val="009D5709"/>
    <w:rsid w:val="009F15CD"/>
    <w:rsid w:val="00A00F0B"/>
    <w:rsid w:val="00A31EB2"/>
    <w:rsid w:val="00A453B7"/>
    <w:rsid w:val="00A52D64"/>
    <w:rsid w:val="00A53917"/>
    <w:rsid w:val="00A67B9C"/>
    <w:rsid w:val="00A81E12"/>
    <w:rsid w:val="00A92F32"/>
    <w:rsid w:val="00AA345A"/>
    <w:rsid w:val="00AC07C8"/>
    <w:rsid w:val="00AC6AA7"/>
    <w:rsid w:val="00AD1095"/>
    <w:rsid w:val="00AF7799"/>
    <w:rsid w:val="00B07195"/>
    <w:rsid w:val="00B2437C"/>
    <w:rsid w:val="00B40C8E"/>
    <w:rsid w:val="00B7138C"/>
    <w:rsid w:val="00B8497A"/>
    <w:rsid w:val="00B95361"/>
    <w:rsid w:val="00B96A4F"/>
    <w:rsid w:val="00BF3711"/>
    <w:rsid w:val="00C50EE3"/>
    <w:rsid w:val="00C92BCA"/>
    <w:rsid w:val="00CC3C9F"/>
    <w:rsid w:val="00CE3520"/>
    <w:rsid w:val="00D23E2B"/>
    <w:rsid w:val="00D36FB9"/>
    <w:rsid w:val="00D57DA6"/>
    <w:rsid w:val="00DA1EAA"/>
    <w:rsid w:val="00DC360E"/>
    <w:rsid w:val="00E70348"/>
    <w:rsid w:val="00EB1F2C"/>
    <w:rsid w:val="00F7058C"/>
    <w:rsid w:val="00F75AE3"/>
    <w:rsid w:val="00F85D11"/>
    <w:rsid w:val="00FB4053"/>
    <w:rsid w:val="00FC3E8D"/>
    <w:rsid w:val="7FED5E44"/>
    <w:rsid w:val="7FFB7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tabs>
        <w:tab w:val="left" w:pos="1155"/>
      </w:tabs>
      <w:overflowPunct w:val="0"/>
      <w:spacing w:line="570" w:lineRule="exact"/>
      <w:outlineLvl w:val="0"/>
    </w:pPr>
    <w:rPr>
      <w:rFonts w:ascii="黑体" w:hAnsi="宋体" w:eastAsia="黑体"/>
      <w:bCs/>
      <w:color w:val="000000"/>
      <w:kern w:val="44"/>
      <w:sz w:val="32"/>
      <w:szCs w:val="44"/>
      <w:lang w:val="zh-CN" w:eastAsia="zh-CN"/>
    </w:rPr>
  </w:style>
  <w:style w:type="paragraph" w:styleId="3">
    <w:name w:val="heading 2"/>
    <w:basedOn w:val="1"/>
    <w:next w:val="1"/>
    <w:link w:val="28"/>
    <w:qFormat/>
    <w:uiPriority w:val="0"/>
    <w:pPr>
      <w:widowControl/>
      <w:spacing w:before="100" w:beforeAutospacing="1" w:after="100" w:afterAutospacing="1"/>
      <w:jc w:val="left"/>
      <w:outlineLvl w:val="1"/>
    </w:pPr>
    <w:rPr>
      <w:rFonts w:ascii="宋体" w:hAnsi="宋体"/>
      <w:b/>
      <w:bCs/>
      <w:kern w:val="0"/>
      <w:sz w:val="36"/>
      <w:szCs w:val="36"/>
      <w:lang w:val="zh-CN" w:eastAsia="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3"/>
    <w:basedOn w:val="1"/>
    <w:link w:val="29"/>
    <w:qFormat/>
    <w:uiPriority w:val="0"/>
    <w:pPr>
      <w:jc w:val="center"/>
    </w:pPr>
    <w:rPr>
      <w:rFonts w:eastAsia="仿宋_GB2312"/>
      <w:kern w:val="21"/>
      <w:sz w:val="44"/>
      <w:szCs w:val="20"/>
      <w:lang w:val="zh-CN" w:eastAsia="zh-CN"/>
    </w:rPr>
  </w:style>
  <w:style w:type="paragraph" w:styleId="6">
    <w:name w:val="Body Text"/>
    <w:basedOn w:val="1"/>
    <w:link w:val="30"/>
    <w:qFormat/>
    <w:uiPriority w:val="0"/>
    <w:rPr>
      <w:rFonts w:ascii="仿宋_GB2312" w:eastAsia="仿宋_GB2312"/>
      <w:sz w:val="32"/>
      <w:szCs w:val="20"/>
      <w:lang w:val="zh-CN" w:eastAsia="zh-CN"/>
    </w:rPr>
  </w:style>
  <w:style w:type="paragraph" w:styleId="7">
    <w:name w:val="Body Text Indent"/>
    <w:basedOn w:val="1"/>
    <w:link w:val="31"/>
    <w:qFormat/>
    <w:uiPriority w:val="0"/>
    <w:pPr>
      <w:spacing w:line="560" w:lineRule="exact"/>
      <w:ind w:firstLine="632" w:firstLineChars="200"/>
    </w:pPr>
    <w:rPr>
      <w:rFonts w:ascii="仿宋_GB2312" w:hAnsi="宋体" w:eastAsia="仿宋_GB2312"/>
      <w:kern w:val="21"/>
      <w:sz w:val="32"/>
      <w:szCs w:val="20"/>
      <w:lang w:val="zh-CN" w:eastAsia="zh-CN"/>
    </w:rPr>
  </w:style>
  <w:style w:type="paragraph" w:styleId="8">
    <w:name w:val="Plain Text"/>
    <w:basedOn w:val="1"/>
    <w:link w:val="32"/>
    <w:qFormat/>
    <w:uiPriority w:val="0"/>
    <w:rPr>
      <w:rFonts w:ascii="宋体" w:hAnsi="Courier New"/>
      <w:szCs w:val="21"/>
      <w:lang w:val="zh-CN" w:eastAsia="zh-CN"/>
    </w:rPr>
  </w:style>
  <w:style w:type="paragraph" w:styleId="9">
    <w:name w:val="Date"/>
    <w:basedOn w:val="1"/>
    <w:next w:val="1"/>
    <w:link w:val="33"/>
    <w:qFormat/>
    <w:uiPriority w:val="0"/>
    <w:pPr>
      <w:ind w:left="100" w:leftChars="2500"/>
    </w:pPr>
    <w:rPr>
      <w:szCs w:val="20"/>
      <w:lang w:val="zh-CN" w:eastAsia="zh-CN"/>
    </w:rPr>
  </w:style>
  <w:style w:type="paragraph" w:styleId="10">
    <w:name w:val="Body Text Indent 2"/>
    <w:basedOn w:val="1"/>
    <w:link w:val="34"/>
    <w:qFormat/>
    <w:uiPriority w:val="0"/>
    <w:pPr>
      <w:spacing w:after="120" w:line="480" w:lineRule="auto"/>
      <w:ind w:left="420" w:leftChars="200"/>
    </w:pPr>
    <w:rPr>
      <w:szCs w:val="20"/>
      <w:lang w:val="zh-CN" w:eastAsia="zh-CN"/>
    </w:rPr>
  </w:style>
  <w:style w:type="paragraph" w:styleId="11">
    <w:name w:val="Balloon Text"/>
    <w:basedOn w:val="1"/>
    <w:link w:val="35"/>
    <w:qFormat/>
    <w:uiPriority w:val="0"/>
    <w:rPr>
      <w:sz w:val="18"/>
      <w:szCs w:val="18"/>
      <w:lang w:val="zh-CN" w:eastAsia="zh-CN"/>
    </w:rPr>
  </w:style>
  <w:style w:type="paragraph" w:styleId="12">
    <w:name w:val="footer"/>
    <w:basedOn w:val="1"/>
    <w:link w:val="36"/>
    <w:qFormat/>
    <w:uiPriority w:val="99"/>
    <w:pPr>
      <w:tabs>
        <w:tab w:val="center" w:pos="4153"/>
        <w:tab w:val="right" w:pos="8306"/>
      </w:tabs>
      <w:snapToGrid w:val="0"/>
      <w:jc w:val="left"/>
    </w:pPr>
    <w:rPr>
      <w:sz w:val="18"/>
      <w:szCs w:val="18"/>
      <w:lang w:val="zh-CN" w:eastAsia="zh-CN"/>
    </w:rPr>
  </w:style>
  <w:style w:type="paragraph" w:styleId="13">
    <w:name w:val="header"/>
    <w:basedOn w:val="1"/>
    <w:link w:val="37"/>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4">
    <w:name w:val="toc 1"/>
    <w:basedOn w:val="1"/>
    <w:next w:val="1"/>
    <w:qFormat/>
    <w:uiPriority w:val="0"/>
    <w:pPr>
      <w:tabs>
        <w:tab w:val="right" w:leader="dot" w:pos="8820"/>
      </w:tabs>
      <w:spacing w:line="570" w:lineRule="exact"/>
      <w:ind w:firstLine="640" w:firstLineChars="200"/>
    </w:pPr>
    <w:rPr>
      <w:rFonts w:ascii="仿宋_GB2312" w:eastAsia="仿宋_GB2312"/>
      <w:caps/>
      <w:color w:val="000000"/>
      <w:kern w:val="0"/>
      <w:sz w:val="32"/>
      <w:szCs w:val="32"/>
    </w:rPr>
  </w:style>
  <w:style w:type="paragraph" w:styleId="15">
    <w:name w:val="Body Text Indent 3"/>
    <w:basedOn w:val="1"/>
    <w:link w:val="38"/>
    <w:qFormat/>
    <w:uiPriority w:val="0"/>
    <w:pPr>
      <w:spacing w:line="360" w:lineRule="auto"/>
      <w:ind w:firstLine="640" w:firstLineChars="200"/>
    </w:pPr>
    <w:rPr>
      <w:rFonts w:ascii="仿宋_GB2312" w:eastAsia="仿宋_GB2312"/>
      <w:sz w:val="32"/>
      <w:lang w:val="zh-CN" w:eastAsia="zh-CN"/>
    </w:rPr>
  </w:style>
  <w:style w:type="paragraph" w:styleId="16">
    <w:name w:val="toc 2"/>
    <w:basedOn w:val="1"/>
    <w:next w:val="1"/>
    <w:qFormat/>
    <w:uiPriority w:val="0"/>
    <w:pPr>
      <w:tabs>
        <w:tab w:val="right" w:leader="dot" w:pos="8820"/>
      </w:tabs>
      <w:spacing w:line="570" w:lineRule="exact"/>
      <w:ind w:firstLine="640" w:firstLineChars="200"/>
    </w:pPr>
    <w:rPr>
      <w:rFonts w:ascii="方正仿宋_GBK" w:eastAsia="方正仿宋_GBK"/>
      <w:smallCaps/>
      <w:sz w:val="28"/>
      <w:szCs w:val="32"/>
    </w:rPr>
  </w:style>
  <w:style w:type="paragraph" w:styleId="17">
    <w:name w:val="Body Text 2"/>
    <w:basedOn w:val="1"/>
    <w:link w:val="39"/>
    <w:qFormat/>
    <w:uiPriority w:val="0"/>
    <w:rPr>
      <w:rFonts w:eastAsia="华文中宋"/>
      <w:w w:val="90"/>
      <w:sz w:val="100"/>
      <w:lang w:val="zh-CN" w:eastAsia="zh-CN"/>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0">
    <w:name w:val="Table Grid"/>
    <w:basedOn w:val="1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qFormat/>
    <w:uiPriority w:val="0"/>
  </w:style>
  <w:style w:type="character" w:styleId="24">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7">
    <w:name w:val="标题 1 Char"/>
    <w:basedOn w:val="21"/>
    <w:link w:val="2"/>
    <w:qFormat/>
    <w:uiPriority w:val="0"/>
    <w:rPr>
      <w:rFonts w:ascii="黑体" w:hAnsi="宋体" w:eastAsia="黑体" w:cs="Times New Roman"/>
      <w:bCs/>
      <w:color w:val="000000"/>
      <w:kern w:val="44"/>
      <w:sz w:val="32"/>
      <w:szCs w:val="44"/>
      <w:lang w:val="zh-CN" w:eastAsia="zh-CN"/>
    </w:rPr>
  </w:style>
  <w:style w:type="character" w:customStyle="1" w:styleId="28">
    <w:name w:val="标题 2 Char"/>
    <w:basedOn w:val="21"/>
    <w:link w:val="3"/>
    <w:qFormat/>
    <w:uiPriority w:val="0"/>
    <w:rPr>
      <w:rFonts w:ascii="宋体" w:hAnsi="宋体" w:eastAsia="宋体" w:cs="Times New Roman"/>
      <w:b/>
      <w:bCs/>
      <w:kern w:val="0"/>
      <w:sz w:val="36"/>
      <w:szCs w:val="36"/>
      <w:lang w:val="zh-CN" w:eastAsia="zh-CN"/>
    </w:rPr>
  </w:style>
  <w:style w:type="character" w:customStyle="1" w:styleId="29">
    <w:name w:val="正文文本 3 Char"/>
    <w:basedOn w:val="21"/>
    <w:link w:val="5"/>
    <w:qFormat/>
    <w:uiPriority w:val="0"/>
    <w:rPr>
      <w:rFonts w:ascii="Times New Roman" w:hAnsi="Times New Roman" w:eastAsia="仿宋_GB2312" w:cs="Times New Roman"/>
      <w:kern w:val="21"/>
      <w:sz w:val="44"/>
      <w:szCs w:val="20"/>
      <w:lang w:val="zh-CN" w:eastAsia="zh-CN"/>
    </w:rPr>
  </w:style>
  <w:style w:type="character" w:customStyle="1" w:styleId="30">
    <w:name w:val="正文文本 Char"/>
    <w:basedOn w:val="21"/>
    <w:link w:val="6"/>
    <w:qFormat/>
    <w:uiPriority w:val="0"/>
    <w:rPr>
      <w:rFonts w:ascii="仿宋_GB2312" w:hAnsi="Times New Roman" w:eastAsia="仿宋_GB2312" w:cs="Times New Roman"/>
      <w:sz w:val="32"/>
      <w:szCs w:val="20"/>
      <w:lang w:val="zh-CN" w:eastAsia="zh-CN"/>
    </w:rPr>
  </w:style>
  <w:style w:type="character" w:customStyle="1" w:styleId="31">
    <w:name w:val="正文文本缩进 Char"/>
    <w:basedOn w:val="21"/>
    <w:link w:val="7"/>
    <w:qFormat/>
    <w:uiPriority w:val="0"/>
    <w:rPr>
      <w:rFonts w:ascii="仿宋_GB2312" w:hAnsi="宋体" w:eastAsia="仿宋_GB2312" w:cs="Times New Roman"/>
      <w:kern w:val="21"/>
      <w:sz w:val="32"/>
      <w:szCs w:val="20"/>
      <w:lang w:val="zh-CN" w:eastAsia="zh-CN"/>
    </w:rPr>
  </w:style>
  <w:style w:type="character" w:customStyle="1" w:styleId="32">
    <w:name w:val="纯文本 Char"/>
    <w:basedOn w:val="21"/>
    <w:link w:val="8"/>
    <w:qFormat/>
    <w:uiPriority w:val="0"/>
    <w:rPr>
      <w:rFonts w:ascii="宋体" w:hAnsi="Courier New" w:eastAsia="宋体" w:cs="Times New Roman"/>
      <w:szCs w:val="21"/>
      <w:lang w:val="zh-CN" w:eastAsia="zh-CN"/>
    </w:rPr>
  </w:style>
  <w:style w:type="character" w:customStyle="1" w:styleId="33">
    <w:name w:val="日期 Char"/>
    <w:basedOn w:val="21"/>
    <w:link w:val="9"/>
    <w:qFormat/>
    <w:uiPriority w:val="0"/>
    <w:rPr>
      <w:rFonts w:ascii="Times New Roman" w:hAnsi="Times New Roman" w:eastAsia="宋体" w:cs="Times New Roman"/>
      <w:szCs w:val="20"/>
      <w:lang w:val="zh-CN" w:eastAsia="zh-CN"/>
    </w:rPr>
  </w:style>
  <w:style w:type="character" w:customStyle="1" w:styleId="34">
    <w:name w:val="正文文本缩进 2 Char"/>
    <w:basedOn w:val="21"/>
    <w:link w:val="10"/>
    <w:qFormat/>
    <w:uiPriority w:val="0"/>
    <w:rPr>
      <w:rFonts w:ascii="Times New Roman" w:hAnsi="Times New Roman" w:eastAsia="宋体" w:cs="Times New Roman"/>
      <w:szCs w:val="20"/>
      <w:lang w:val="zh-CN" w:eastAsia="zh-CN"/>
    </w:rPr>
  </w:style>
  <w:style w:type="character" w:customStyle="1" w:styleId="35">
    <w:name w:val="批注框文本 Char"/>
    <w:basedOn w:val="21"/>
    <w:link w:val="11"/>
    <w:qFormat/>
    <w:uiPriority w:val="0"/>
    <w:rPr>
      <w:rFonts w:ascii="Times New Roman" w:hAnsi="Times New Roman" w:eastAsia="宋体" w:cs="Times New Roman"/>
      <w:sz w:val="18"/>
      <w:szCs w:val="18"/>
      <w:lang w:val="zh-CN" w:eastAsia="zh-CN"/>
    </w:rPr>
  </w:style>
  <w:style w:type="character" w:customStyle="1" w:styleId="36">
    <w:name w:val="页脚 Char"/>
    <w:basedOn w:val="21"/>
    <w:link w:val="12"/>
    <w:qFormat/>
    <w:uiPriority w:val="99"/>
    <w:rPr>
      <w:rFonts w:ascii="Times New Roman" w:hAnsi="Times New Roman" w:eastAsia="宋体" w:cs="Times New Roman"/>
      <w:sz w:val="18"/>
      <w:szCs w:val="18"/>
      <w:lang w:val="zh-CN" w:eastAsia="zh-CN"/>
    </w:rPr>
  </w:style>
  <w:style w:type="character" w:customStyle="1" w:styleId="37">
    <w:name w:val="页眉 Char"/>
    <w:basedOn w:val="21"/>
    <w:link w:val="13"/>
    <w:qFormat/>
    <w:uiPriority w:val="0"/>
    <w:rPr>
      <w:rFonts w:ascii="Times New Roman" w:hAnsi="Times New Roman" w:eastAsia="宋体" w:cs="Times New Roman"/>
      <w:sz w:val="18"/>
      <w:szCs w:val="18"/>
      <w:lang w:val="zh-CN" w:eastAsia="zh-CN"/>
    </w:rPr>
  </w:style>
  <w:style w:type="character" w:customStyle="1" w:styleId="38">
    <w:name w:val="正文文本缩进 3 Char"/>
    <w:basedOn w:val="21"/>
    <w:link w:val="15"/>
    <w:qFormat/>
    <w:uiPriority w:val="0"/>
    <w:rPr>
      <w:rFonts w:ascii="仿宋_GB2312" w:hAnsi="Times New Roman" w:eastAsia="仿宋_GB2312" w:cs="Times New Roman"/>
      <w:sz w:val="32"/>
      <w:szCs w:val="24"/>
      <w:lang w:val="zh-CN" w:eastAsia="zh-CN"/>
    </w:rPr>
  </w:style>
  <w:style w:type="character" w:customStyle="1" w:styleId="39">
    <w:name w:val="正文文本 2 Char"/>
    <w:basedOn w:val="21"/>
    <w:link w:val="17"/>
    <w:qFormat/>
    <w:uiPriority w:val="0"/>
    <w:rPr>
      <w:rFonts w:ascii="Times New Roman" w:hAnsi="Times New Roman" w:eastAsia="华文中宋" w:cs="Times New Roman"/>
      <w:w w:val="90"/>
      <w:sz w:val="100"/>
      <w:szCs w:val="24"/>
      <w:lang w:val="zh-CN" w:eastAsia="zh-CN"/>
    </w:rPr>
  </w:style>
  <w:style w:type="paragraph" w:customStyle="1" w:styleId="40">
    <w:name w:val="_Style 3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13b1"/>
    <w:qFormat/>
    <w:uiPriority w:val="0"/>
    <w:rPr>
      <w:color w:val="000000"/>
      <w:sz w:val="20"/>
      <w:szCs w:val="20"/>
    </w:rPr>
  </w:style>
  <w:style w:type="character" w:customStyle="1" w:styleId="42">
    <w:name w:val="font61"/>
    <w:qFormat/>
    <w:uiPriority w:val="0"/>
    <w:rPr>
      <w:rFonts w:hint="eastAsia" w:ascii="方正黑体_GBK" w:hAnsi="方正黑体_GBK" w:eastAsia="方正黑体_GBK" w:cs="方正黑体_GBK"/>
      <w:color w:val="000000"/>
      <w:sz w:val="24"/>
      <w:szCs w:val="24"/>
      <w:u w:val="none"/>
    </w:rPr>
  </w:style>
  <w:style w:type="character" w:customStyle="1" w:styleId="43">
    <w:name w:val="公文标题"/>
    <w:qFormat/>
    <w:uiPriority w:val="0"/>
    <w:rPr>
      <w:rFonts w:eastAsia="方正小标宋_GBK"/>
      <w:b/>
      <w:bCs/>
      <w:sz w:val="44"/>
    </w:rPr>
  </w:style>
  <w:style w:type="character" w:customStyle="1" w:styleId="44">
    <w:name w:val="z-窗体顶端 Char"/>
    <w:link w:val="45"/>
    <w:qFormat/>
    <w:uiPriority w:val="0"/>
    <w:rPr>
      <w:rFonts w:ascii="Arial" w:hAnsi="Arial" w:eastAsia="方正仿宋_GBK" w:cs="Arial"/>
      <w:vanish/>
      <w:sz w:val="16"/>
      <w:szCs w:val="16"/>
    </w:rPr>
  </w:style>
  <w:style w:type="paragraph" w:customStyle="1" w:styleId="45">
    <w:name w:val="HTML Top of Form"/>
    <w:basedOn w:val="1"/>
    <w:next w:val="1"/>
    <w:link w:val="44"/>
    <w:qFormat/>
    <w:uiPriority w:val="0"/>
    <w:pPr>
      <w:pBdr>
        <w:bottom w:val="single" w:color="auto" w:sz="6" w:space="1"/>
      </w:pBdr>
      <w:jc w:val="center"/>
    </w:pPr>
    <w:rPr>
      <w:rFonts w:ascii="Arial" w:hAnsi="Arial" w:eastAsia="方正仿宋_GBK" w:cs="Arial"/>
      <w:vanish/>
      <w:sz w:val="16"/>
      <w:szCs w:val="16"/>
    </w:rPr>
  </w:style>
  <w:style w:type="character" w:customStyle="1" w:styleId="46">
    <w:name w:val="z-窗体顶端 Char1"/>
    <w:basedOn w:val="21"/>
    <w:semiHidden/>
    <w:qFormat/>
    <w:uiPriority w:val="99"/>
    <w:rPr>
      <w:rFonts w:ascii="Arial" w:hAnsi="Arial" w:eastAsia="宋体" w:cs="Arial"/>
      <w:vanish/>
      <w:sz w:val="16"/>
      <w:szCs w:val="16"/>
    </w:rPr>
  </w:style>
  <w:style w:type="character" w:customStyle="1" w:styleId="47">
    <w:name w:val="font71"/>
    <w:qFormat/>
    <w:uiPriority w:val="0"/>
    <w:rPr>
      <w:rFonts w:ascii="方正仿宋_GBK" w:hAnsi="方正仿宋_GBK" w:eastAsia="方正仿宋_GBK" w:cs="方正仿宋_GBK"/>
      <w:color w:val="000000"/>
      <w:sz w:val="24"/>
      <w:szCs w:val="24"/>
      <w:u w:val="none"/>
    </w:rPr>
  </w:style>
  <w:style w:type="paragraph" w:customStyle="1" w:styleId="48">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49">
    <w:name w:val="样式1"/>
    <w:basedOn w:val="1"/>
    <w:qFormat/>
    <w:uiPriority w:val="0"/>
    <w:pPr>
      <w:ind w:left="526" w:right="156"/>
    </w:pPr>
    <w:rPr>
      <w:kern w:val="0"/>
      <w:sz w:val="32"/>
      <w:szCs w:val="32"/>
    </w:rPr>
  </w:style>
  <w:style w:type="paragraph" w:customStyle="1" w:styleId="50">
    <w:name w:val="style34"/>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51">
    <w:name w:val="xl69"/>
    <w:basedOn w:val="1"/>
    <w:qFormat/>
    <w:uiPriority w:val="0"/>
    <w:pPr>
      <w:widowControl/>
      <w:pBdr>
        <w:bottom w:val="single" w:color="auto" w:sz="8" w:space="0"/>
        <w:right w:val="single" w:color="auto" w:sz="8" w:space="0"/>
      </w:pBdr>
      <w:spacing w:before="100" w:beforeAutospacing="1" w:after="100" w:afterAutospacing="1"/>
      <w:jc w:val="left"/>
    </w:pPr>
    <w:rPr>
      <w:kern w:val="0"/>
      <w:sz w:val="20"/>
      <w:szCs w:val="20"/>
    </w:rPr>
  </w:style>
  <w:style w:type="paragraph" w:customStyle="1" w:styleId="5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xl74"/>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55">
    <w:name w:val="xl64"/>
    <w:basedOn w:val="1"/>
    <w:qFormat/>
    <w:uiPriority w:val="0"/>
    <w:pPr>
      <w:widowControl/>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24"/>
    </w:rPr>
  </w:style>
  <w:style w:type="paragraph" w:customStyle="1" w:styleId="56">
    <w:name w:val="xl77"/>
    <w:basedOn w:val="1"/>
    <w:qFormat/>
    <w:uiPriority w:val="0"/>
    <w:pPr>
      <w:widowControl/>
      <w:pBdr>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57">
    <w:name w:val="xl76"/>
    <w:basedOn w:val="1"/>
    <w:qFormat/>
    <w:uiPriority w:val="0"/>
    <w:pPr>
      <w:widowControl/>
      <w:pBdr>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58">
    <w:name w:val="xl73"/>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59">
    <w:name w:val="xl7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方正仿宋_GBK" w:hAnsi="宋体" w:eastAsia="方正仿宋_GBK" w:cs="宋体"/>
      <w:color w:val="000000"/>
      <w:kern w:val="0"/>
      <w:sz w:val="20"/>
      <w:szCs w:val="20"/>
    </w:rPr>
  </w:style>
  <w:style w:type="paragraph" w:customStyle="1" w:styleId="60">
    <w:name w:val="xl82"/>
    <w:basedOn w:val="1"/>
    <w:qFormat/>
    <w:uiPriority w:val="0"/>
    <w:pPr>
      <w:widowControl/>
      <w:pBdr>
        <w:left w:val="single" w:color="auto" w:sz="8" w:space="0"/>
        <w:bottom w:val="single" w:color="auto" w:sz="8" w:space="0"/>
      </w:pBdr>
      <w:spacing w:before="100" w:beforeAutospacing="1" w:after="100" w:afterAutospacing="1"/>
      <w:jc w:val="center"/>
      <w:textAlignment w:val="center"/>
    </w:pPr>
    <w:rPr>
      <w:color w:val="000000"/>
      <w:kern w:val="0"/>
      <w:sz w:val="20"/>
      <w:szCs w:val="20"/>
    </w:rPr>
  </w:style>
  <w:style w:type="paragraph" w:customStyle="1" w:styleId="61">
    <w:name w:val="xl71"/>
    <w:basedOn w:val="1"/>
    <w:qFormat/>
    <w:uiPriority w:val="0"/>
    <w:pPr>
      <w:widowControl/>
      <w:pBdr>
        <w:bottom w:val="single" w:color="auto" w:sz="8" w:space="0"/>
        <w:right w:val="single" w:color="auto" w:sz="8" w:space="0"/>
      </w:pBdr>
      <w:spacing w:before="100" w:beforeAutospacing="1" w:after="100" w:afterAutospacing="1"/>
      <w:jc w:val="left"/>
      <w:textAlignment w:val="center"/>
    </w:pPr>
    <w:rPr>
      <w:color w:val="000000"/>
      <w:kern w:val="0"/>
      <w:sz w:val="20"/>
      <w:szCs w:val="20"/>
    </w:rPr>
  </w:style>
  <w:style w:type="paragraph" w:customStyle="1" w:styleId="62">
    <w:name w:val="xl68"/>
    <w:basedOn w:val="1"/>
    <w:qFormat/>
    <w:uiPriority w:val="0"/>
    <w:pPr>
      <w:widowControl/>
      <w:pBdr>
        <w:bottom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styleId="63">
    <w:name w:val="List Paragraph"/>
    <w:basedOn w:val="1"/>
    <w:qFormat/>
    <w:uiPriority w:val="34"/>
    <w:pPr>
      <w:ind w:firstLine="420" w:firstLineChars="200"/>
    </w:pPr>
    <w:rPr>
      <w:rFonts w:ascii="Calibri" w:hAnsi="Calibri"/>
      <w:szCs w:val="22"/>
    </w:rPr>
  </w:style>
  <w:style w:type="paragraph" w:customStyle="1" w:styleId="6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65">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方正小标宋_GBK" w:hAnsi="宋体" w:eastAsia="方正小标宋_GBK" w:cs="宋体"/>
      <w:color w:val="000000"/>
      <w:kern w:val="0"/>
      <w:sz w:val="24"/>
    </w:rPr>
  </w:style>
  <w:style w:type="paragraph" w:customStyle="1" w:styleId="66">
    <w:name w:val="xl80"/>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方正仿宋_GBK" w:hAnsi="宋体" w:eastAsia="方正仿宋_GBK" w:cs="宋体"/>
      <w:color w:val="000000"/>
      <w:kern w:val="0"/>
      <w:sz w:val="20"/>
      <w:szCs w:val="20"/>
    </w:rPr>
  </w:style>
  <w:style w:type="paragraph" w:customStyle="1" w:styleId="67">
    <w:name w:val="xl79"/>
    <w:basedOn w:val="1"/>
    <w:qFormat/>
    <w:uiPriority w:val="0"/>
    <w:pPr>
      <w:widowControl/>
      <w:pBdr>
        <w:top w:val="single" w:color="000000" w:sz="8" w:space="0"/>
        <w:left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68">
    <w:name w:val="xl78"/>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69">
    <w:name w:val="xl75"/>
    <w:basedOn w:val="1"/>
    <w:qFormat/>
    <w:uiPriority w:val="0"/>
    <w:pPr>
      <w:widowControl/>
      <w:pBdr>
        <w:left w:val="single" w:color="auto" w:sz="8" w:space="0"/>
        <w:bottom w:val="single" w:color="000000"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 w:type="paragraph" w:customStyle="1" w:styleId="70">
    <w:name w:val="xl7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color w:val="000000"/>
      <w:kern w:val="0"/>
      <w:sz w:val="20"/>
      <w:szCs w:val="20"/>
    </w:rPr>
  </w:style>
  <w:style w:type="paragraph" w:customStyle="1" w:styleId="71">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方正小标宋_GBK" w:hAnsi="宋体" w:eastAsia="方正小标宋_GBK" w:cs="宋体"/>
      <w:color w:val="000000"/>
      <w:kern w:val="0"/>
      <w:sz w:val="24"/>
    </w:rPr>
  </w:style>
  <w:style w:type="paragraph" w:customStyle="1" w:styleId="7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xl81"/>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方正仿宋_GBK" w:hAnsi="宋体" w:eastAsia="方正仿宋_GBK" w:cs="宋体"/>
      <w:color w:val="000000"/>
      <w:kern w:val="0"/>
      <w:sz w:val="20"/>
      <w:szCs w:val="20"/>
    </w:rPr>
  </w:style>
  <w:style w:type="paragraph" w:customStyle="1" w:styleId="7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75">
    <w:name w:val="xl8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方正仿宋_GBK" w:hAnsi="宋体" w:eastAsia="方正仿宋_GBK" w:cs="宋体"/>
      <w:color w:val="000000"/>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1641</Words>
  <Characters>9355</Characters>
  <Lines>77</Lines>
  <Paragraphs>21</Paragraphs>
  <TotalTime>1212</TotalTime>
  <ScaleCrop>false</ScaleCrop>
  <LinksUpToDate>false</LinksUpToDate>
  <CharactersWithSpaces>10975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2023-03-06T23:06:00Z</dcterms:created>
  <dc:creator>Lenovo</dc:creator>
  <cp:lastModifiedBy>区司法局</cp:lastModifiedBy>
  <dcterms:modified xsi:type="dcterms:W3CDTF">2023-03-14T12:06:25Z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