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</w:pPr>
      <w:r>
        <w:t xml:space="preserve"> </w:t>
      </w:r>
    </w:p>
    <w:p>
      <w:pPr>
        <w:spacing w:line="520" w:lineRule="exact"/>
        <w:jc w:val="both"/>
      </w:pPr>
    </w:p>
    <w:p>
      <w:pPr>
        <w:spacing w:line="594" w:lineRule="exact"/>
        <w:jc w:val="center"/>
        <w:rPr>
          <w:rFonts w:eastAsia="方正小标宋_GBK"/>
          <w:sz w:val="44"/>
          <w:szCs w:val="44"/>
        </w:rPr>
      </w:pPr>
      <w:bookmarkStart w:id="0" w:name="_Toc12284"/>
      <w:bookmarkStart w:id="1" w:name="_Toc27773"/>
      <w:bookmarkStart w:id="2" w:name="_Toc10986"/>
      <w:bookmarkStart w:id="3" w:name="_Toc3619"/>
      <w:bookmarkStart w:id="4" w:name="_Toc13041"/>
      <w:r>
        <w:rPr>
          <w:rFonts w:eastAsia="方正小标宋_GBK"/>
          <w:sz w:val="44"/>
          <w:szCs w:val="44"/>
        </w:rPr>
        <w:t>重庆市梁平区生态环境局</w:t>
      </w:r>
    </w:p>
    <w:p>
      <w:pPr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重庆市梁平区农业农村委</w:t>
      </w:r>
    </w:p>
    <w:p>
      <w:pPr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关于印发重庆市梁平区畜禽养殖区域</w:t>
      </w:r>
    </w:p>
    <w:p>
      <w:pPr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划定方案的通知</w:t>
      </w:r>
    </w:p>
    <w:p>
      <w:pPr>
        <w:spacing w:line="594" w:lineRule="exact"/>
        <w:jc w:val="center"/>
        <w:rPr>
          <w:rFonts w:eastAsia="方正仿宋_GBK"/>
          <w:szCs w:val="32"/>
        </w:rPr>
      </w:pPr>
      <w:r>
        <w:rPr>
          <w:rFonts w:eastAsia="方正仿宋_GBK"/>
          <w:szCs w:val="32"/>
        </w:rPr>
        <w:t>梁平环发〔2020〕7号</w:t>
      </w:r>
    </w:p>
    <w:p>
      <w:pPr>
        <w:spacing w:line="594" w:lineRule="exact"/>
        <w:jc w:val="both"/>
        <w:rPr>
          <w:rFonts w:eastAsia="方正仿宋_GBK"/>
          <w:szCs w:val="32"/>
        </w:rPr>
      </w:pPr>
    </w:p>
    <w:p>
      <w:pPr>
        <w:spacing w:line="594" w:lineRule="exact"/>
        <w:jc w:val="both"/>
        <w:rPr>
          <w:rFonts w:eastAsia="方正仿宋_GBK"/>
          <w:szCs w:val="32"/>
        </w:rPr>
      </w:pPr>
      <w:r>
        <w:rPr>
          <w:rFonts w:eastAsia="方正仿宋_GBK"/>
          <w:szCs w:val="32"/>
        </w:rPr>
        <w:t>各乡镇人民政府、街道办事处，区政府相关部门，有关单位：</w:t>
      </w:r>
    </w:p>
    <w:p>
      <w:pPr>
        <w:spacing w:line="594" w:lineRule="exact"/>
        <w:ind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《重庆市梁平区畜禽养殖区域划定方案》在2018年基础之上，按照有关要求，进行了重新划定，经区政府同意，现印发给你们，请认真遵照执行。</w:t>
      </w:r>
    </w:p>
    <w:p>
      <w:pPr>
        <w:spacing w:line="594" w:lineRule="exact"/>
        <w:jc w:val="center"/>
        <w:rPr>
          <w:rFonts w:eastAsia="方正仿宋_GBK"/>
          <w:sz w:val="44"/>
          <w:szCs w:val="44"/>
        </w:rPr>
      </w:pPr>
      <w:r>
        <w:rPr>
          <w:rFonts w:eastAsia="方正仿宋_GBK"/>
          <w:sz w:val="44"/>
          <w:szCs w:val="44"/>
        </w:rPr>
        <w:t xml:space="preserve">    </w:t>
      </w:r>
    </w:p>
    <w:p>
      <w:pPr>
        <w:spacing w:line="594" w:lineRule="exact"/>
        <w:ind w:firstLine="316" w:firstLineChars="100"/>
        <w:rPr>
          <w:rFonts w:eastAsia="方正仿宋_GBK"/>
          <w:color w:val="000000"/>
          <w:szCs w:val="32"/>
        </w:rPr>
      </w:pPr>
      <w:r>
        <w:rPr>
          <w:rFonts w:eastAsia="方正仿宋_GBK"/>
          <w:color w:val="000000"/>
          <w:szCs w:val="32"/>
        </w:rPr>
        <w:t xml:space="preserve">重庆市梁平区生态环境局        重庆市梁平区农业农村委  </w:t>
      </w:r>
    </w:p>
    <w:p>
      <w:pPr>
        <w:spacing w:line="594" w:lineRule="exact"/>
        <w:rPr>
          <w:rFonts w:eastAsia="方正仿宋_GBK"/>
          <w:bCs/>
          <w:color w:val="000000"/>
          <w:szCs w:val="32"/>
        </w:rPr>
      </w:pPr>
      <w:r>
        <w:rPr>
          <w:rFonts w:eastAsia="方正仿宋_GBK"/>
          <w:color w:val="000000"/>
          <w:szCs w:val="32"/>
        </w:rPr>
        <w:t xml:space="preserve">                                    2020年</w:t>
      </w:r>
      <w:r>
        <w:rPr>
          <w:rFonts w:hint="eastAsia" w:eastAsia="方正仿宋_GBK"/>
          <w:color w:val="000000"/>
          <w:szCs w:val="32"/>
        </w:rPr>
        <w:t>3</w:t>
      </w:r>
      <w:r>
        <w:rPr>
          <w:rFonts w:eastAsia="方正仿宋_GBK"/>
          <w:color w:val="000000"/>
          <w:szCs w:val="32"/>
        </w:rPr>
        <w:t>月</w:t>
      </w:r>
      <w:r>
        <w:rPr>
          <w:rFonts w:hint="eastAsia" w:eastAsia="方正仿宋_GBK"/>
          <w:color w:val="000000"/>
          <w:szCs w:val="32"/>
        </w:rPr>
        <w:t>4</w:t>
      </w:r>
      <w:r>
        <w:rPr>
          <w:rFonts w:eastAsia="方正仿宋_GBK"/>
          <w:color w:val="000000"/>
          <w:szCs w:val="32"/>
        </w:rPr>
        <w:t>日</w:t>
      </w:r>
    </w:p>
    <w:p>
      <w:pPr>
        <w:spacing w:line="594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94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94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94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94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94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94" w:lineRule="exact"/>
        <w:jc w:val="center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重庆市梁平区畜禽养殖区域划定方案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/>
        <w:jc w:val="left"/>
        <w:textAlignment w:val="auto"/>
        <w:rPr>
          <w:rFonts w:eastAsia="方正小标宋简体"/>
          <w:sz w:val="44"/>
          <w:szCs w:val="44"/>
        </w:rPr>
      </w:pPr>
    </w:p>
    <w:bookmarkEnd w:id="0"/>
    <w:bookmarkEnd w:id="1"/>
    <w:bookmarkEnd w:id="2"/>
    <w:bookmarkEnd w:id="3"/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" w:firstLine="600"/>
        <w:textAlignment w:val="auto"/>
        <w:rPr>
          <w:rFonts w:eastAsia="方正仿宋_GBK"/>
        </w:rPr>
      </w:pPr>
      <w:r>
        <w:rPr>
          <w:rFonts w:eastAsia="方正仿宋_GBK"/>
        </w:rPr>
        <w:t>根据《中华人民共和国畜牧法》（2015年修正）、《畜禽规模养殖污染防治条例》（国务院令第643号）、《重庆市环境保护条例》（2018年修正）、《重庆市长江三峡水库库区及流域水污染防治条例》等法律法规要求，结合梁平区畜牧业发展和生态环境保护的实际情况，特制定本方案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</w:pPr>
      <w:bookmarkStart w:id="5" w:name="_Toc1439"/>
      <w:bookmarkStart w:id="6" w:name="_Toc23152237"/>
      <w:r>
        <w:t>一、划定原则</w:t>
      </w:r>
      <w:bookmarkEnd w:id="5"/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eastAsia="方正仿宋_GBK"/>
        </w:rPr>
      </w:pPr>
      <w:r>
        <w:rPr>
          <w:rFonts w:eastAsia="方正楷体_GBK"/>
          <w:szCs w:val="32"/>
        </w:rPr>
        <w:t>（一）统筹兼顾。</w:t>
      </w:r>
      <w:r>
        <w:rPr>
          <w:rFonts w:eastAsia="方正仿宋_GBK"/>
        </w:rPr>
        <w:t>禁养区的划定要充分兼顾保护需要、发展需要以及空间落地的可行性。划定的禁养区必须与区域经济社会发展规划、土地利用总体规划、城乡总体规划、畜禽养殖业发展规划等规划相协调，满足畜禽养殖污染防治、水环境污染防治等相关法律法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eastAsia="方正仿宋_GBK"/>
        </w:rPr>
      </w:pPr>
      <w:r>
        <w:rPr>
          <w:rFonts w:eastAsia="方正楷体_GBK"/>
          <w:szCs w:val="32"/>
        </w:rPr>
        <w:t>（二）科学可行。</w:t>
      </w:r>
      <w:r>
        <w:rPr>
          <w:rFonts w:eastAsia="方正仿宋_GBK"/>
        </w:rPr>
        <w:t>禁养区的区划边界尽可能与现有的行政边界以及山系、水系、道路等自然边界相吻合，划定后的畜禽养殖禁养区尽可能的与行政单元、生态保护主体等相吻合，便于后期监管和实施。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</w:pPr>
      <w:r>
        <w:rPr>
          <w:rFonts w:eastAsia="方正楷体_GBK"/>
          <w:szCs w:val="32"/>
        </w:rPr>
        <w:t>（三）依法合规。</w:t>
      </w:r>
      <w:r>
        <w:rPr>
          <w:rFonts w:eastAsia="方正仿宋_GBK"/>
        </w:rPr>
        <w:t>禁养区的划定必须符合相关法律法规及政策要求，已明文规定禁止存在畜禽养殖的区域必须划入畜禽禁养区，无明确法律法规依据的区域不得划入禁养区。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eastAsia="方正仿宋_GBK"/>
        </w:rPr>
      </w:pPr>
      <w:r>
        <w:rPr>
          <w:rFonts w:eastAsia="方正楷体_GBK"/>
          <w:szCs w:val="32"/>
        </w:rPr>
        <w:t>（四）以人为本。</w:t>
      </w:r>
      <w:r>
        <w:rPr>
          <w:rFonts w:eastAsia="方正仿宋_GBK"/>
        </w:rPr>
        <w:t>禁养区的划定要坚持人民群众经济收入、食品供应以及生态环境利益最大化的原则，坚持以人为本，既要保障畜禽养殖产业发展不受较大影响，也要兼顾畜禽食品供应量和供应价格因素，同时要确保与人民生产、生活息息相关的生态环境质量不受较大影响，确保人民的物质条件和生活居住的环境条件不受破坏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</w:pPr>
      <w:bookmarkStart w:id="7" w:name="_Toc21289"/>
      <w:bookmarkStart w:id="8" w:name="_Toc23152238"/>
      <w:r>
        <w:t>二、划定目标</w:t>
      </w:r>
      <w:bookmarkEnd w:id="7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eastAsia="方正仿宋_GBK"/>
          <w:szCs w:val="30"/>
        </w:rPr>
      </w:pPr>
      <w:bookmarkStart w:id="9" w:name="_Toc15851"/>
      <w:r>
        <w:rPr>
          <w:rFonts w:eastAsia="方正仿宋_GBK"/>
        </w:rPr>
        <w:t>科学合理划定养殖区域，进一步优化全区畜禽养殖产业空间布局，引导畜禽养殖产业的连片发展、集中治污，促进畜牧产业绿色发展，切实保护和提升畜禽养殖禁养区的主导生态功能，保障畜禽养殖产业发展与生态环境保护的相互协调、相互促进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</w:pPr>
      <w:bookmarkStart w:id="10" w:name="_Toc23152239"/>
      <w:r>
        <w:t>三、划定依据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eastAsia="方正仿宋_GBK"/>
        </w:rPr>
      </w:pPr>
      <w:r>
        <w:rPr>
          <w:rFonts w:eastAsia="方正仿宋_GBK"/>
        </w:rPr>
        <w:t>1.《中华人民共和国畜牧法》（2015年修订）；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eastAsia="方正仿宋_GBK"/>
        </w:rPr>
      </w:pPr>
      <w:r>
        <w:rPr>
          <w:rFonts w:eastAsia="方正仿宋_GBK"/>
        </w:rPr>
        <w:t>2.《畜禽规模养殖污染防治条例》（国务院令第643号）；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eastAsia="方正仿宋_GBK"/>
        </w:rPr>
      </w:pPr>
      <w:r>
        <w:rPr>
          <w:rFonts w:eastAsia="方正仿宋_GBK"/>
        </w:rPr>
        <w:t>3.《重庆市环境保护条例》（2018年修订）；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eastAsia="方正仿宋_GBK"/>
        </w:rPr>
      </w:pPr>
      <w:r>
        <w:rPr>
          <w:rFonts w:eastAsia="方正仿宋_GBK"/>
        </w:rPr>
        <w:t>4.《重庆市长江三峡水库库区及流域水污染防治条例》；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eastAsia="方正仿宋_GBK"/>
          <w:szCs w:val="30"/>
        </w:rPr>
      </w:pPr>
      <w:r>
        <w:rPr>
          <w:rFonts w:eastAsia="方正仿宋_GBK"/>
        </w:rPr>
        <w:t>5.</w:t>
      </w:r>
      <w:r>
        <w:rPr>
          <w:rFonts w:eastAsia="方正仿宋_GBK"/>
          <w:szCs w:val="30"/>
        </w:rPr>
        <w:t>《风景名胜区条例》（国务院令第474号）；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eastAsia="方正仿宋_GBK"/>
        </w:rPr>
      </w:pPr>
      <w:r>
        <w:rPr>
          <w:rFonts w:eastAsia="方正仿宋_GBK"/>
          <w:szCs w:val="30"/>
        </w:rPr>
        <w:t>6.</w:t>
      </w:r>
      <w:r>
        <w:rPr>
          <w:rFonts w:hint="eastAsia"/>
          <w:szCs w:val="30"/>
          <w:lang w:val="en-US" w:eastAsia="zh-CN"/>
        </w:rPr>
        <w:t xml:space="preserve"> </w:t>
      </w:r>
      <w:bookmarkStart w:id="28" w:name="_GoBack"/>
      <w:bookmarkEnd w:id="28"/>
      <w:r>
        <w:rPr>
          <w:rFonts w:eastAsia="方正仿宋_GBK"/>
        </w:rPr>
        <w:t>《重庆市人民政府办公厅 关于调整万州区等31个区县（自治县）集中式饮用水源保护区的通知》（渝府办〔2013〕40号）、《重庆市人民政府办公厅 关于调整万州区等36个区县（自治县）集中式饮用水水源保护区的通知》（渝府办〔2016〕19号）、《重庆市人民政府办公厅 关于印发万州等18个区县（开发区）集中式饮用水水源地保护区划分及调整方案的通知（2017年）》（渝府办〔2017〕21号）。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eastAsia="方正仿宋_GBK"/>
        </w:rPr>
      </w:pPr>
      <w:r>
        <w:rPr>
          <w:rFonts w:eastAsia="方正仿宋_GBK"/>
        </w:rPr>
        <w:t>7.《重庆市人民政府关于同意大足石刻和歌乐山等17个景区为市级风景名胜区的批复》（渝府〔1999〕74号）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eastAsia="方正仿宋_GBK"/>
        </w:rPr>
      </w:pPr>
      <w:r>
        <w:rPr>
          <w:rFonts w:eastAsia="方正仿宋_GBK"/>
        </w:rPr>
        <w:t>8.《重庆市人民政府批转重庆市地表水环境功能类别调整方案的通知》（渝府发〔2012〕4号）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eastAsia="方正仿宋_GBK"/>
        </w:rPr>
      </w:pPr>
      <w:r>
        <w:rPr>
          <w:rFonts w:eastAsia="方正仿宋_GBK"/>
        </w:rPr>
        <w:t>9.《国家林业局关于同意建立朱雀山等35处国家森林公园的批复》（林场发〔2001〕519号）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</w:pPr>
      <w:r>
        <w:t>四、划定范围</w:t>
      </w:r>
      <w:bookmarkEnd w:id="9"/>
      <w:bookmarkEnd w:id="1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</w:pPr>
      <w:bookmarkStart w:id="11" w:name="_Toc13195"/>
      <w:bookmarkStart w:id="12" w:name="_Toc23152240"/>
      <w:r>
        <w:t>4.1 禁养区</w:t>
      </w:r>
      <w:bookmarkEnd w:id="11"/>
      <w:r>
        <w:t>划定</w:t>
      </w:r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eastAsia="方正仿宋_GBK"/>
          <w:szCs w:val="30"/>
        </w:rPr>
      </w:pPr>
      <w:bookmarkStart w:id="13" w:name="_Toc1575"/>
      <w:bookmarkStart w:id="14" w:name="_Toc23152241"/>
      <w:r>
        <w:rPr>
          <w:rFonts w:eastAsia="方正仿宋_GBK"/>
          <w:szCs w:val="30"/>
        </w:rPr>
        <w:t>4.1.1 饮用水水源地保护区</w:t>
      </w:r>
      <w:bookmarkEnd w:id="13"/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/>
        <w:textAlignment w:val="auto"/>
        <w:rPr>
          <w:rFonts w:eastAsia="方正仿宋_GBK"/>
        </w:rPr>
      </w:pPr>
      <w:r>
        <w:rPr>
          <w:rFonts w:eastAsia="方正仿宋_GBK"/>
          <w:b/>
          <w:bCs/>
        </w:rPr>
        <w:t>划定结果：</w:t>
      </w:r>
      <w:r>
        <w:rPr>
          <w:rFonts w:eastAsia="方正仿宋_GBK"/>
        </w:rPr>
        <w:t>结合梁平区实际，将梁平区26个集中式饮用水水源地一、二级保护区划入畜禽养殖禁养区。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eastAsia="方正仿宋_GBK"/>
        </w:rPr>
      </w:pPr>
      <w:r>
        <w:rPr>
          <w:rFonts w:eastAsia="方正仿宋_GBK"/>
        </w:rPr>
        <w:t>划定后，水源保护区总面积105.21平方公里，其中一级保护区面积6.41平方公里，二级保护区面积98.94平方公里。</w:t>
      </w:r>
    </w:p>
    <w:p>
      <w:pPr>
        <w:pStyle w:val="5"/>
        <w:keepNext w:val="0"/>
        <w:keepLines w:val="0"/>
        <w:ind w:firstLine="632" w:firstLineChars="200"/>
        <w:jc w:val="both"/>
      </w:pPr>
      <w:bookmarkStart w:id="15" w:name="_Toc23152251"/>
      <w:r>
        <w:t>表1 梁平区饮用水水源地保护区（禁养区）基本信息</w:t>
      </w:r>
      <w:bookmarkEnd w:id="15"/>
    </w:p>
    <w:tbl>
      <w:tblPr>
        <w:tblStyle w:val="10"/>
        <w:tblW w:w="81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945"/>
        <w:gridCol w:w="2112"/>
        <w:gridCol w:w="1065"/>
        <w:gridCol w:w="1134"/>
        <w:gridCol w:w="1134"/>
        <w:gridCol w:w="1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kern w:val="0"/>
                <w:sz w:val="21"/>
                <w:szCs w:val="21"/>
                <w:lang w:bidi="ar"/>
              </w:rPr>
            </w:pPr>
            <w:r>
              <w:rPr>
                <w:b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kern w:val="0"/>
                <w:sz w:val="21"/>
                <w:szCs w:val="21"/>
                <w:lang w:bidi="ar"/>
              </w:rPr>
            </w:pPr>
            <w:r>
              <w:rPr>
                <w:b/>
                <w:kern w:val="0"/>
                <w:sz w:val="21"/>
                <w:szCs w:val="21"/>
                <w:lang w:bidi="ar"/>
              </w:rPr>
              <w:t>乡镇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kern w:val="0"/>
                <w:sz w:val="21"/>
                <w:szCs w:val="21"/>
                <w:lang w:bidi="ar"/>
              </w:rPr>
            </w:pPr>
            <w:r>
              <w:rPr>
                <w:b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kern w:val="0"/>
                <w:sz w:val="21"/>
                <w:szCs w:val="21"/>
                <w:lang w:bidi="ar"/>
              </w:rPr>
            </w:pPr>
            <w:r>
              <w:rPr>
                <w:b/>
                <w:kern w:val="0"/>
                <w:sz w:val="21"/>
                <w:szCs w:val="21"/>
                <w:lang w:bidi="ar"/>
              </w:rPr>
              <w:t>水源类型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kern w:val="0"/>
                <w:sz w:val="21"/>
                <w:szCs w:val="21"/>
                <w:lang w:bidi="ar"/>
              </w:rPr>
            </w:pPr>
            <w:r>
              <w:rPr>
                <w:b/>
                <w:kern w:val="0"/>
                <w:sz w:val="21"/>
                <w:szCs w:val="21"/>
                <w:lang w:bidi="ar"/>
              </w:rPr>
              <w:t>一级保护区面积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kern w:val="0"/>
                <w:sz w:val="21"/>
                <w:szCs w:val="21"/>
                <w:lang w:bidi="ar"/>
              </w:rPr>
            </w:pPr>
            <w:r>
              <w:rPr>
                <w:b/>
                <w:kern w:val="0"/>
                <w:sz w:val="21"/>
                <w:szCs w:val="21"/>
                <w:lang w:bidi="ar"/>
              </w:rPr>
              <w:t>二级保护区面积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kern w:val="0"/>
                <w:sz w:val="21"/>
                <w:szCs w:val="21"/>
                <w:lang w:bidi="ar"/>
              </w:rPr>
            </w:pPr>
            <w:r>
              <w:rPr>
                <w:b/>
                <w:kern w:val="0"/>
                <w:sz w:val="21"/>
                <w:szCs w:val="21"/>
                <w:lang w:bidi="ar"/>
              </w:rPr>
              <w:t>保护区面积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双桂街道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大河坝水库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水库型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0.268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3.979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4.247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梁山街道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沙坝水库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水库型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0.651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8.767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9.418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梁山街道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蓼叶水库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水库型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0.879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5.643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6.522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屏锦镇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盐井口水库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水库型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1.162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8.403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9.565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袁驿镇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花石水库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水库型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0.284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2.958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3.242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金带镇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滑石水库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水库型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0.412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6.262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6.674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蟠龙镇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七里沟水库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水库型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0.015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0.028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竹山镇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竹丰水库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水库型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0.742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4.863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5.605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回龙镇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来家洞水库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水库型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0.086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2.756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2.842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合兴镇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英勇水库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水库型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0.162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3.619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3.780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新盛镇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新盛水库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水库型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0.247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3.422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3.669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和林镇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三龙水库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水库型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0.499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9.819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10.318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龙胜乡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龙君庙水库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水库型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0.035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3.264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3.299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福禄镇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丁家槽水库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水库型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0.081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6.110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6.191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蟠龙镇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大沟水库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水库型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0.078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曲水镇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宝圣水库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水库型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0.090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7.878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7.967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石安镇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农民水库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水库型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0.029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3.546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3.575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蟠龙镇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罗家湾水库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水库型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0.031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0.880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蟠龙镇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石河沟水库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水库型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0.286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2.250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2.536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大观镇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小白水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河流型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0.031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0.754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曲水镇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李万沟水库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水库型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0.030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1.031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1.061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梁山街道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上游水库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水库型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0.085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10.812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10.897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曲水镇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曹家弯水库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水库型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0.033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0.266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竹山镇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小梅家槽河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河流型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0.031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0.754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屏锦镇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龙河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河流型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0.031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0.754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双桂街道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龙洞山泉水黄泥村水厂水源地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河流型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0.031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0.754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合计：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6.41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98.94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105.21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备注：不同水源地二级保护区在空间上有重叠，重叠面积只计一次。部分水源地一级保护区和其他水源地的二级保护区在空间上有重叠，重叠面积只计一次。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outlineLvl w:val="2"/>
        <w:rPr>
          <w:rFonts w:eastAsia="方正仿宋_GBK"/>
          <w:szCs w:val="30"/>
        </w:rPr>
      </w:pPr>
      <w:bookmarkStart w:id="16" w:name="_Toc23152243"/>
      <w:r>
        <w:rPr>
          <w:szCs w:val="30"/>
        </w:rPr>
        <w:t>4.1.2</w:t>
      </w:r>
      <w:r>
        <w:rPr>
          <w:rFonts w:eastAsia="方正仿宋_GBK"/>
          <w:szCs w:val="30"/>
        </w:rPr>
        <w:t>风景名胜区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/>
        <w:textAlignment w:val="auto"/>
        <w:rPr>
          <w:rFonts w:eastAsia="方正仿宋_GBK"/>
        </w:rPr>
      </w:pPr>
      <w:r>
        <w:rPr>
          <w:rFonts w:eastAsia="方正仿宋_GBK"/>
          <w:b/>
          <w:bCs/>
        </w:rPr>
        <w:t>划定结果：</w:t>
      </w:r>
      <w:r>
        <w:rPr>
          <w:rFonts w:eastAsia="方正仿宋_GBK"/>
        </w:rPr>
        <w:t>将百里竹海风景名胜区划入畜禽养殖禁养区。划定总面积42.90平方公里。</w:t>
      </w:r>
    </w:p>
    <w:p>
      <w:pPr>
        <w:pStyle w:val="5"/>
        <w:keepNext w:val="0"/>
        <w:keepLines w:val="0"/>
        <w:jc w:val="center"/>
      </w:pPr>
      <w:r>
        <w:t>表2 梁平区风景名胜区（禁养区）基本信息</w:t>
      </w:r>
    </w:p>
    <w:tbl>
      <w:tblPr>
        <w:tblStyle w:val="10"/>
        <w:tblW w:w="8259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4"/>
        <w:gridCol w:w="2071"/>
        <w:gridCol w:w="3898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</w:trPr>
        <w:tc>
          <w:tcPr>
            <w:tcW w:w="7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kern w:val="0"/>
                <w:sz w:val="21"/>
                <w:szCs w:val="21"/>
                <w:lang w:bidi="ar"/>
              </w:rPr>
            </w:pPr>
            <w:r>
              <w:rPr>
                <w:b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kern w:val="0"/>
                <w:sz w:val="21"/>
                <w:szCs w:val="21"/>
                <w:lang w:bidi="ar"/>
              </w:rPr>
            </w:pPr>
            <w:r>
              <w:rPr>
                <w:b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389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kern w:val="0"/>
                <w:sz w:val="21"/>
                <w:szCs w:val="21"/>
                <w:lang w:bidi="ar"/>
              </w:rPr>
            </w:pPr>
            <w:r>
              <w:rPr>
                <w:b/>
                <w:kern w:val="0"/>
                <w:sz w:val="21"/>
                <w:szCs w:val="21"/>
                <w:lang w:bidi="ar"/>
              </w:rPr>
              <w:t>涉及乡镇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kern w:val="0"/>
                <w:sz w:val="21"/>
                <w:szCs w:val="21"/>
                <w:lang w:bidi="ar"/>
              </w:rPr>
            </w:pPr>
            <w:r>
              <w:rPr>
                <w:b/>
                <w:kern w:val="0"/>
                <w:sz w:val="21"/>
                <w:szCs w:val="21"/>
                <w:lang w:bidi="ar"/>
              </w:rPr>
              <w:t>面积（km</w:t>
            </w:r>
            <w:r>
              <w:rPr>
                <w:b/>
                <w:kern w:val="0"/>
                <w:sz w:val="21"/>
                <w:szCs w:val="21"/>
                <w:vertAlign w:val="superscript"/>
                <w:lang w:bidi="ar"/>
              </w:rPr>
              <w:t>2</w:t>
            </w:r>
            <w:r>
              <w:rPr>
                <w:b/>
                <w:kern w:val="0"/>
                <w:sz w:val="21"/>
                <w:szCs w:val="21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</w:trPr>
        <w:tc>
          <w:tcPr>
            <w:tcW w:w="7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百里竹海风景名胜区</w:t>
            </w:r>
          </w:p>
        </w:tc>
        <w:tc>
          <w:tcPr>
            <w:tcW w:w="389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竹山镇、七星镇、屏锦镇、虎城镇、龙门镇、龙胜乡、明达镇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42.90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outlineLvl w:val="2"/>
        <w:rPr>
          <w:rFonts w:eastAsia="方正仿宋_GBK"/>
          <w:szCs w:val="30"/>
        </w:rPr>
      </w:pPr>
      <w:r>
        <w:rPr>
          <w:rFonts w:eastAsia="方正仿宋_GBK"/>
          <w:szCs w:val="30"/>
        </w:rPr>
        <w:t>4.1.3 城镇建成区</w:t>
      </w:r>
      <w:bookmarkEnd w:id="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/>
        <w:textAlignment w:val="auto"/>
        <w:rPr>
          <w:rFonts w:eastAsia="方正仿宋_GBK"/>
        </w:rPr>
      </w:pPr>
      <w:r>
        <w:rPr>
          <w:rFonts w:eastAsia="方正仿宋_GBK"/>
          <w:b/>
          <w:bCs/>
        </w:rPr>
        <w:t>划定结果：</w:t>
      </w:r>
      <w:r>
        <w:rPr>
          <w:rFonts w:eastAsia="方正仿宋_GBK"/>
        </w:rPr>
        <w:t>结合梁平区土地利用调查数据，将城市建成区以及另外31个乡镇建成区作为城镇居民区和文化教育科学研究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方正仿宋_GBK"/>
          <w:color w:val="FF0000"/>
        </w:rPr>
      </w:pPr>
      <w:r>
        <w:rPr>
          <w:rFonts w:eastAsia="方正仿宋_GBK"/>
        </w:rPr>
        <w:t>区划入畜禽养殖禁养区。划定总面积35.99平方公里。</w:t>
      </w:r>
    </w:p>
    <w:p>
      <w:pPr>
        <w:pStyle w:val="5"/>
        <w:keepNext w:val="0"/>
        <w:keepLines w:val="0"/>
        <w:jc w:val="center"/>
      </w:pPr>
      <w:bookmarkStart w:id="17" w:name="_Toc23152253"/>
      <w:r>
        <w:t>表3 城镇建成区（禁养区）基本信息</w:t>
      </w:r>
      <w:bookmarkEnd w:id="17"/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200"/>
        <w:gridCol w:w="1735"/>
        <w:gridCol w:w="818"/>
        <w:gridCol w:w="1358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kern w:val="0"/>
                <w:sz w:val="21"/>
                <w:szCs w:val="21"/>
                <w:lang w:bidi="ar"/>
              </w:rPr>
            </w:pPr>
            <w:r>
              <w:rPr>
                <w:b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kern w:val="0"/>
                <w:sz w:val="21"/>
                <w:szCs w:val="21"/>
                <w:lang w:bidi="ar"/>
              </w:rPr>
            </w:pPr>
            <w:r>
              <w:rPr>
                <w:b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kern w:val="0"/>
                <w:sz w:val="21"/>
                <w:szCs w:val="21"/>
                <w:lang w:bidi="ar"/>
              </w:rPr>
            </w:pPr>
            <w:r>
              <w:rPr>
                <w:b/>
                <w:kern w:val="0"/>
                <w:sz w:val="21"/>
                <w:szCs w:val="21"/>
                <w:lang w:bidi="ar"/>
              </w:rPr>
              <w:t>建成区面积（km</w:t>
            </w:r>
            <w:r>
              <w:rPr>
                <w:b/>
                <w:kern w:val="0"/>
                <w:sz w:val="21"/>
                <w:szCs w:val="21"/>
                <w:vertAlign w:val="superscript"/>
                <w:lang w:bidi="ar"/>
              </w:rPr>
              <w:t>2</w:t>
            </w:r>
            <w:r>
              <w:rPr>
                <w:b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kern w:val="0"/>
                <w:sz w:val="21"/>
                <w:szCs w:val="21"/>
                <w:lang w:bidi="ar"/>
              </w:rPr>
            </w:pPr>
            <w:r>
              <w:rPr>
                <w:b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kern w:val="0"/>
                <w:sz w:val="21"/>
                <w:szCs w:val="21"/>
                <w:lang w:bidi="ar"/>
              </w:rPr>
            </w:pPr>
            <w:r>
              <w:rPr>
                <w:b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kern w:val="0"/>
                <w:sz w:val="21"/>
                <w:szCs w:val="21"/>
                <w:lang w:bidi="ar"/>
              </w:rPr>
            </w:pPr>
            <w:r>
              <w:rPr>
                <w:b/>
                <w:kern w:val="0"/>
                <w:sz w:val="21"/>
                <w:szCs w:val="21"/>
                <w:lang w:bidi="ar"/>
              </w:rPr>
              <w:t>建成区面积（km</w:t>
            </w:r>
            <w:r>
              <w:rPr>
                <w:b/>
                <w:kern w:val="0"/>
                <w:sz w:val="21"/>
                <w:szCs w:val="21"/>
                <w:vertAlign w:val="superscript"/>
                <w:lang w:bidi="ar"/>
              </w:rPr>
              <w:t>2</w:t>
            </w:r>
            <w:r>
              <w:rPr>
                <w:b/>
                <w:kern w:val="0"/>
                <w:sz w:val="21"/>
                <w:szCs w:val="21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铁门乡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0.097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安胜乡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云龙镇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0.584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曲水乡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回龙镇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0.300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竹山镇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紫照乡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0.149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碧山镇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荫平镇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0.259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星桥镇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大观镇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0.356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明达镇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和林镇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0.296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袁驿镇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屏锦镇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1.881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合兴镇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石安镇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0.098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龙胜乡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蟠龙镇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0.202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龙门镇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金带镇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0.415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文化镇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聚奎镇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0.393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虎城镇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福禄镇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0.291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新盛镇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仁贤镇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0.393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复平乡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礼让镇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0.243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柏家镇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七星镇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0.071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城市建成区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26.625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35.99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outlineLvl w:val="2"/>
        <w:rPr>
          <w:rFonts w:eastAsia="方正仿宋_GBK"/>
          <w:szCs w:val="30"/>
        </w:rPr>
      </w:pPr>
      <w:bookmarkStart w:id="18" w:name="_Toc23152244"/>
      <w:r>
        <w:rPr>
          <w:rFonts w:eastAsia="方正仿宋_GBK"/>
          <w:szCs w:val="30"/>
        </w:rPr>
        <w:t>4.1.4 I、II类水域功能水体及河岸带</w:t>
      </w:r>
      <w:bookmarkEnd w:id="1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/>
        <w:textAlignment w:val="auto"/>
        <w:rPr>
          <w:rFonts w:eastAsia="方正仿宋_GBK"/>
        </w:rPr>
      </w:pPr>
      <w:r>
        <w:rPr>
          <w:rFonts w:eastAsia="方正仿宋_GBK"/>
          <w:b/>
          <w:bCs/>
        </w:rPr>
        <w:t>划定结果：</w:t>
      </w:r>
      <w:r>
        <w:rPr>
          <w:rFonts w:eastAsia="方正仿宋_GBK"/>
        </w:rPr>
        <w:t>将七涧河（竹山—盐井口段）、竹丰水库和盐井口水库3个II类水域功能的水域及沿岸200米内的陆域划入畜禽养殖禁养区，共划定面积13.24平方公里。</w:t>
      </w:r>
    </w:p>
    <w:p>
      <w:pPr>
        <w:pStyle w:val="5"/>
        <w:keepNext w:val="0"/>
        <w:keepLines w:val="0"/>
        <w:ind w:firstLine="474" w:firstLineChars="150"/>
      </w:pPr>
      <w:bookmarkStart w:id="19" w:name="_Toc23152254"/>
      <w:r>
        <w:t>表4  I、II类水域功能水体及河岸带（禁养区）基本信息</w:t>
      </w:r>
      <w:bookmarkEnd w:id="19"/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358"/>
        <w:gridCol w:w="2352"/>
        <w:gridCol w:w="1094"/>
        <w:gridCol w:w="1600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6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kern w:val="0"/>
                <w:sz w:val="21"/>
                <w:szCs w:val="21"/>
                <w:lang w:bidi="ar"/>
              </w:rPr>
            </w:pPr>
            <w:r>
              <w:rPr>
                <w:b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kern w:val="0"/>
                <w:sz w:val="21"/>
                <w:szCs w:val="21"/>
                <w:lang w:bidi="ar"/>
              </w:rPr>
            </w:pPr>
            <w:r>
              <w:rPr>
                <w:b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kern w:val="0"/>
                <w:sz w:val="21"/>
                <w:szCs w:val="21"/>
                <w:lang w:bidi="ar"/>
              </w:rPr>
            </w:pPr>
            <w:r>
              <w:rPr>
                <w:b/>
                <w:kern w:val="0"/>
                <w:sz w:val="21"/>
                <w:szCs w:val="21"/>
                <w:lang w:bidi="ar"/>
              </w:rPr>
              <w:t>水域功能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kern w:val="0"/>
                <w:sz w:val="21"/>
                <w:szCs w:val="21"/>
                <w:lang w:bidi="ar"/>
              </w:rPr>
            </w:pPr>
            <w:r>
              <w:rPr>
                <w:b/>
                <w:kern w:val="0"/>
                <w:sz w:val="21"/>
                <w:szCs w:val="21"/>
                <w:lang w:bidi="ar"/>
              </w:rPr>
              <w:t>监测断面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kern w:val="0"/>
                <w:sz w:val="21"/>
                <w:szCs w:val="21"/>
                <w:lang w:bidi="ar"/>
              </w:rPr>
            </w:pPr>
            <w:r>
              <w:rPr>
                <w:b/>
                <w:kern w:val="0"/>
                <w:sz w:val="21"/>
                <w:szCs w:val="21"/>
                <w:lang w:bidi="ar"/>
              </w:rPr>
              <w:t>断面坐标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kern w:val="0"/>
                <w:sz w:val="21"/>
                <w:szCs w:val="21"/>
                <w:lang w:bidi="ar"/>
              </w:rPr>
            </w:pPr>
            <w:r>
              <w:rPr>
                <w:b/>
                <w:kern w:val="0"/>
                <w:sz w:val="21"/>
                <w:szCs w:val="21"/>
                <w:lang w:bidi="ar"/>
              </w:rPr>
              <w:t>面积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kern w:val="0"/>
                <w:sz w:val="21"/>
                <w:szCs w:val="21"/>
                <w:lang w:bidi="ar"/>
              </w:rPr>
            </w:pPr>
            <w:r>
              <w:rPr>
                <w:b/>
                <w:kern w:val="0"/>
                <w:sz w:val="21"/>
                <w:szCs w:val="21"/>
                <w:lang w:bidi="ar"/>
              </w:rPr>
              <w:t>（km</w:t>
            </w:r>
            <w:r>
              <w:rPr>
                <w:b/>
                <w:kern w:val="0"/>
                <w:sz w:val="21"/>
                <w:szCs w:val="21"/>
                <w:vertAlign w:val="superscript"/>
                <w:lang w:bidi="ar"/>
              </w:rPr>
              <w:t>2</w:t>
            </w:r>
            <w:r>
              <w:rPr>
                <w:b/>
                <w:kern w:val="0"/>
                <w:sz w:val="21"/>
                <w:szCs w:val="21"/>
                <w:lang w:bidi="a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七涧河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（竹山—盐井口）II类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厚桥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N 30.6997°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E</w:t>
            </w:r>
            <w:r>
              <w:t xml:space="preserve"> </w:t>
            </w:r>
            <w:r>
              <w:rPr>
                <w:kern w:val="0"/>
                <w:sz w:val="21"/>
                <w:szCs w:val="21"/>
                <w:lang w:bidi="ar"/>
              </w:rPr>
              <w:t>107.5669°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8.536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竹丰水库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II类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库心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N</w:t>
            </w:r>
            <w:r>
              <w:t xml:space="preserve"> </w:t>
            </w:r>
            <w:r>
              <w:rPr>
                <w:kern w:val="0"/>
                <w:sz w:val="21"/>
                <w:szCs w:val="21"/>
                <w:lang w:bidi="ar"/>
              </w:rPr>
              <w:t>30.7988°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E107.6305°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2.053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盐井口水库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II类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库心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N</w:t>
            </w:r>
            <w:r>
              <w:t xml:space="preserve"> </w:t>
            </w:r>
            <w:r>
              <w:rPr>
                <w:kern w:val="0"/>
                <w:sz w:val="21"/>
                <w:szCs w:val="21"/>
                <w:lang w:bidi="ar"/>
              </w:rPr>
              <w:t>30.6208°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E</w:t>
            </w:r>
            <w:r>
              <w:t xml:space="preserve"> </w:t>
            </w:r>
            <w:r>
              <w:rPr>
                <w:kern w:val="0"/>
                <w:sz w:val="21"/>
                <w:szCs w:val="21"/>
                <w:lang w:bidi="ar"/>
              </w:rPr>
              <w:t>107.5255°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2.783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8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13.24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</w:pPr>
      <w:bookmarkStart w:id="20" w:name="_Toc23152246"/>
      <w:r>
        <w:t>4.2 限养区划定</w:t>
      </w:r>
      <w:bookmarkEnd w:id="2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outlineLvl w:val="2"/>
        <w:rPr>
          <w:rFonts w:eastAsia="方正仿宋_GBK"/>
          <w:szCs w:val="30"/>
        </w:rPr>
      </w:pPr>
      <w:bookmarkStart w:id="21" w:name="_Toc23152247"/>
      <w:r>
        <w:rPr>
          <w:rFonts w:eastAsia="方正仿宋_GBK"/>
          <w:szCs w:val="30"/>
        </w:rPr>
        <w:t>4.2.1 城市规划区及规划区以外的居民集中区、医疗区、文教科研区、工业区</w:t>
      </w:r>
      <w:bookmarkEnd w:id="2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/>
        <w:textAlignment w:val="auto"/>
        <w:rPr>
          <w:rFonts w:eastAsia="方正仿宋_GBK"/>
        </w:rPr>
      </w:pPr>
      <w:r>
        <w:rPr>
          <w:rFonts w:eastAsia="方正仿宋_GBK"/>
          <w:bCs/>
        </w:rPr>
        <w:t>划定结果：</w:t>
      </w:r>
      <w:r>
        <w:rPr>
          <w:rFonts w:eastAsia="方正仿宋_GBK"/>
        </w:rPr>
        <w:t>结合梁平区城乡总体规划，筛选出城市规划区（不含建成区），同时结合全区土地利用调查数据与行政管理的可实施性，筛选出城市规划区以外聚集面积超过0.05平方公里的居民集中区</w:t>
      </w:r>
      <w:r>
        <w:rPr>
          <w:rFonts w:eastAsia="方正仿宋_GBK"/>
          <w:szCs w:val="30"/>
        </w:rPr>
        <w:t>、医疗区、文教科研区、工业区</w:t>
      </w:r>
      <w:r>
        <w:rPr>
          <w:rFonts w:eastAsia="方正仿宋_GBK"/>
        </w:rPr>
        <w:t>。城市规划区以及规划区外居民集中区面积共23.30平方公里，其中城市规划区面积21.25平方公里，规划区外居民集中区、医疗区、文教科研区、工业区面积2.05平方公里。</w:t>
      </w:r>
    </w:p>
    <w:p>
      <w:pPr>
        <w:pStyle w:val="5"/>
        <w:keepNext w:val="0"/>
        <w:keepLines w:val="0"/>
        <w:jc w:val="center"/>
        <w:rPr>
          <w:spacing w:val="-20"/>
        </w:rPr>
      </w:pPr>
      <w:r>
        <w:rPr>
          <w:spacing w:val="-20"/>
        </w:rPr>
        <w:t>表5 城市规划区以及规划区外的居民集中区</w:t>
      </w:r>
      <w:r>
        <w:t>、医疗区、文教科研区、工业区</w:t>
      </w:r>
      <w:r>
        <w:rPr>
          <w:spacing w:val="-20"/>
        </w:rPr>
        <w:t>（限养区）基本信息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780"/>
        <w:gridCol w:w="3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kern w:val="0"/>
                <w:sz w:val="21"/>
                <w:szCs w:val="21"/>
                <w:lang w:bidi="ar"/>
              </w:rPr>
            </w:pPr>
            <w:r>
              <w:rPr>
                <w:b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kern w:val="0"/>
                <w:sz w:val="21"/>
                <w:szCs w:val="21"/>
                <w:lang w:bidi="ar"/>
              </w:rPr>
            </w:pPr>
            <w:r>
              <w:rPr>
                <w:b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39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kern w:val="0"/>
                <w:sz w:val="21"/>
                <w:szCs w:val="21"/>
                <w:lang w:bidi="ar"/>
              </w:rPr>
            </w:pPr>
            <w:r>
              <w:rPr>
                <w:b/>
                <w:kern w:val="0"/>
                <w:sz w:val="21"/>
                <w:szCs w:val="21"/>
                <w:lang w:bidi="ar"/>
              </w:rPr>
              <w:t>面积（km</w:t>
            </w:r>
            <w:r>
              <w:rPr>
                <w:b/>
                <w:kern w:val="0"/>
                <w:sz w:val="21"/>
                <w:szCs w:val="21"/>
                <w:vertAlign w:val="superscript"/>
                <w:lang w:bidi="ar"/>
              </w:rPr>
              <w:t>2</w:t>
            </w:r>
            <w:r>
              <w:rPr>
                <w:b/>
                <w:kern w:val="0"/>
                <w:sz w:val="21"/>
                <w:szCs w:val="21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城市规划区</w:t>
            </w:r>
          </w:p>
        </w:tc>
        <w:tc>
          <w:tcPr>
            <w:tcW w:w="39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21.25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规划区外的居民集中区</w:t>
            </w:r>
          </w:p>
        </w:tc>
        <w:tc>
          <w:tcPr>
            <w:tcW w:w="39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1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39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23.30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outlineLvl w:val="2"/>
        <w:rPr>
          <w:rFonts w:eastAsia="方正仿宋_GBK"/>
          <w:szCs w:val="30"/>
        </w:rPr>
      </w:pPr>
      <w:bookmarkStart w:id="22" w:name="_Toc23152248"/>
      <w:r>
        <w:rPr>
          <w:rFonts w:eastAsia="方正仿宋_GBK"/>
          <w:szCs w:val="30"/>
        </w:rPr>
        <w:t xml:space="preserve">4.2.2 </w:t>
      </w:r>
      <w:bookmarkStart w:id="23" w:name="_Hlk500839188"/>
      <w:r>
        <w:rPr>
          <w:rFonts w:eastAsia="方正仿宋_GBK"/>
          <w:szCs w:val="30"/>
        </w:rPr>
        <w:t>III类水域及河岸带</w:t>
      </w:r>
      <w:bookmarkEnd w:id="22"/>
      <w:bookmarkEnd w:id="2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/>
        <w:textAlignment w:val="auto"/>
        <w:rPr>
          <w:rFonts w:eastAsia="方正仿宋_GBK"/>
        </w:rPr>
      </w:pPr>
      <w:r>
        <w:rPr>
          <w:rFonts w:eastAsia="方正仿宋_GBK"/>
          <w:b/>
          <w:bCs/>
        </w:rPr>
        <w:t>划定结果：</w:t>
      </w:r>
      <w:r>
        <w:rPr>
          <w:rFonts w:eastAsia="方正仿宋_GBK"/>
        </w:rPr>
        <w:t>根据《重庆市人民政府批转重庆市地表水环境功能类别调整方案的通知》（渝府发〔2012〕4号），将普里河、汝溪河、回龙河、龙溪河和黄金河5条III类水域功能的水体水面及沿河200米的河岸带划入畜禽养殖限养区，划定面积72.09平方公里。</w:t>
      </w:r>
    </w:p>
    <w:p>
      <w:pPr>
        <w:pStyle w:val="5"/>
        <w:keepNext w:val="0"/>
        <w:keepLines w:val="0"/>
        <w:jc w:val="center"/>
      </w:pPr>
      <w:bookmarkStart w:id="24" w:name="_Toc23152249"/>
      <w:r>
        <w:t>表6  III类水域功能水体及河岸带（限养区）基本信息</w:t>
      </w:r>
    </w:p>
    <w:tbl>
      <w:tblPr>
        <w:tblStyle w:val="10"/>
        <w:tblW w:w="8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358"/>
        <w:gridCol w:w="2352"/>
        <w:gridCol w:w="1588"/>
        <w:gridCol w:w="1216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6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kern w:val="0"/>
                <w:sz w:val="21"/>
                <w:szCs w:val="21"/>
                <w:lang w:bidi="ar"/>
              </w:rPr>
            </w:pPr>
            <w:r>
              <w:rPr>
                <w:b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kern w:val="0"/>
                <w:sz w:val="21"/>
                <w:szCs w:val="21"/>
                <w:lang w:bidi="ar"/>
              </w:rPr>
            </w:pPr>
            <w:r>
              <w:rPr>
                <w:b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kern w:val="0"/>
                <w:sz w:val="21"/>
                <w:szCs w:val="21"/>
                <w:lang w:bidi="ar"/>
              </w:rPr>
            </w:pPr>
            <w:r>
              <w:rPr>
                <w:b/>
                <w:kern w:val="0"/>
                <w:sz w:val="21"/>
                <w:szCs w:val="21"/>
                <w:lang w:bidi="ar"/>
              </w:rPr>
              <w:t>水域功能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kern w:val="0"/>
                <w:sz w:val="21"/>
                <w:szCs w:val="21"/>
                <w:lang w:bidi="ar"/>
              </w:rPr>
            </w:pPr>
            <w:r>
              <w:rPr>
                <w:b/>
                <w:kern w:val="0"/>
                <w:sz w:val="21"/>
                <w:szCs w:val="21"/>
                <w:lang w:bidi="ar"/>
              </w:rPr>
              <w:t>监测断面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kern w:val="0"/>
                <w:sz w:val="21"/>
                <w:szCs w:val="21"/>
                <w:lang w:bidi="ar"/>
              </w:rPr>
            </w:pPr>
            <w:r>
              <w:rPr>
                <w:b/>
                <w:kern w:val="0"/>
                <w:sz w:val="21"/>
                <w:szCs w:val="21"/>
                <w:lang w:bidi="ar"/>
              </w:rPr>
              <w:t>断面坐标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kern w:val="0"/>
                <w:sz w:val="21"/>
                <w:szCs w:val="21"/>
                <w:lang w:bidi="ar"/>
              </w:rPr>
            </w:pPr>
            <w:r>
              <w:rPr>
                <w:b/>
                <w:kern w:val="0"/>
                <w:sz w:val="21"/>
                <w:szCs w:val="21"/>
                <w:lang w:bidi="ar"/>
              </w:rPr>
              <w:t>面积（km</w:t>
            </w:r>
            <w:r>
              <w:rPr>
                <w:b/>
                <w:kern w:val="0"/>
                <w:sz w:val="21"/>
                <w:szCs w:val="21"/>
                <w:vertAlign w:val="superscript"/>
                <w:lang w:bidi="ar"/>
              </w:rPr>
              <w:t>2</w:t>
            </w:r>
            <w:r>
              <w:rPr>
                <w:b/>
                <w:kern w:val="0"/>
                <w:sz w:val="21"/>
                <w:szCs w:val="21"/>
                <w:lang w:bidi="a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普里河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III类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大龙平桥</w:t>
            </w:r>
          </w:p>
        </w:tc>
        <w:tc>
          <w:tcPr>
            <w:tcW w:w="121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N 30.7669°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E107.8950°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12.905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汝溪河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III类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团堡</w:t>
            </w:r>
          </w:p>
        </w:tc>
        <w:tc>
          <w:tcPr>
            <w:tcW w:w="121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N 30.5572°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E108.0063°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14.467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回龙河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III类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大河桥</w:t>
            </w:r>
          </w:p>
        </w:tc>
        <w:tc>
          <w:tcPr>
            <w:tcW w:w="121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N 30.4861°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E107.4641°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11.209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龙溪河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III类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普顺</w:t>
            </w:r>
          </w:p>
        </w:tc>
        <w:tc>
          <w:tcPr>
            <w:tcW w:w="121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N 30.4791°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E107.5920°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27.586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黄金河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III类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双河口</w:t>
            </w:r>
          </w:p>
        </w:tc>
        <w:tc>
          <w:tcPr>
            <w:tcW w:w="1216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N 30.5438°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E107.8813°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5.921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74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72.09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outlineLvl w:val="2"/>
        <w:rPr>
          <w:szCs w:val="30"/>
        </w:rPr>
      </w:pPr>
      <w:bookmarkStart w:id="25" w:name="_Toc23152245"/>
      <w:r>
        <w:rPr>
          <w:szCs w:val="30"/>
        </w:rPr>
        <w:t xml:space="preserve">4.2.3 </w:t>
      </w:r>
      <w:r>
        <w:rPr>
          <w:rFonts w:eastAsia="方正仿宋_GBK"/>
          <w:szCs w:val="30"/>
        </w:rPr>
        <w:t>森林公园</w:t>
      </w:r>
      <w:bookmarkEnd w:id="2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/>
        <w:textAlignment w:val="auto"/>
        <w:rPr>
          <w:rFonts w:eastAsia="方正仿宋_GBK"/>
        </w:rPr>
      </w:pPr>
      <w:r>
        <w:rPr>
          <w:rFonts w:eastAsia="方正仿宋_GBK"/>
          <w:b/>
          <w:bCs/>
        </w:rPr>
        <w:t>划定结果：</w:t>
      </w:r>
      <w:r>
        <w:rPr>
          <w:rFonts w:eastAsia="方正仿宋_GBK"/>
        </w:rPr>
        <w:t>由于东山国家森林公园未明确重要景点和核心景区，因此将森林公园全域划入畜禽养殖限养区，共划定面积37.80平方公里。</w:t>
      </w:r>
    </w:p>
    <w:p>
      <w:pPr>
        <w:pStyle w:val="5"/>
        <w:keepNext w:val="0"/>
        <w:keepLines w:val="0"/>
        <w:jc w:val="center"/>
      </w:pPr>
      <w:r>
        <w:t>表7  森林公园（限养区）基本信息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780"/>
        <w:gridCol w:w="3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kern w:val="0"/>
                <w:sz w:val="21"/>
                <w:szCs w:val="21"/>
                <w:lang w:bidi="ar"/>
              </w:rPr>
            </w:pPr>
            <w:r>
              <w:rPr>
                <w:b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kern w:val="0"/>
                <w:sz w:val="21"/>
                <w:szCs w:val="21"/>
                <w:lang w:bidi="ar"/>
              </w:rPr>
            </w:pPr>
            <w:r>
              <w:rPr>
                <w:b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39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kern w:val="0"/>
                <w:sz w:val="21"/>
                <w:szCs w:val="21"/>
                <w:lang w:bidi="ar"/>
              </w:rPr>
            </w:pPr>
            <w:r>
              <w:rPr>
                <w:b/>
                <w:kern w:val="0"/>
                <w:sz w:val="21"/>
                <w:szCs w:val="21"/>
                <w:lang w:bidi="ar"/>
              </w:rPr>
              <w:t>面积（km</w:t>
            </w:r>
            <w:r>
              <w:rPr>
                <w:b/>
                <w:kern w:val="0"/>
                <w:sz w:val="21"/>
                <w:szCs w:val="21"/>
                <w:vertAlign w:val="superscript"/>
                <w:lang w:bidi="ar"/>
              </w:rPr>
              <w:t>2</w:t>
            </w:r>
            <w:r>
              <w:rPr>
                <w:b/>
                <w:kern w:val="0"/>
                <w:sz w:val="21"/>
                <w:szCs w:val="21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东山国家森林公园</w:t>
            </w:r>
          </w:p>
        </w:tc>
        <w:tc>
          <w:tcPr>
            <w:tcW w:w="39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37.80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</w:pPr>
      <w:r>
        <w:t>4.3 适养区划定</w:t>
      </w:r>
      <w:bookmarkEnd w:id="2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eastAsia="方正仿宋_GBK"/>
        </w:rPr>
      </w:pPr>
      <w:r>
        <w:rPr>
          <w:rFonts w:eastAsia="方正仿宋_GBK"/>
        </w:rPr>
        <w:t>全区除畜禽养殖禁养区、限养区以外的区域，均划定为畜禽养殖适养区。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</w:pPr>
      <w:bookmarkStart w:id="26" w:name="_Toc23152250"/>
      <w:bookmarkStart w:id="27" w:name="_Toc30447"/>
      <w:r>
        <w:t>4.4 养殖“三区”划定结果</w:t>
      </w:r>
      <w:bookmarkEnd w:id="2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eastAsia="方正仿宋_GBK"/>
        </w:rPr>
        <w:t>全区共划定畜禽养殖禁养区面积185.09平方公里，限养区面积106.94平方公里，其余均为畜禽养殖适养区，三者分别占全区幅员面积比例9.80％、5.66％、84.54％。</w:t>
      </w:r>
      <w:bookmarkEnd w:id="2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600" w:lineRule="exact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1474" w:gutter="0"/>
      <w:pgNumType w:fmt="numberInDash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5622" w:firstLineChars="2000"/>
      <w:rPr>
        <w:rFonts w:hint="eastAsia" w:ascii="宋体" w:hAnsi="宋体" w:eastAsia="宋体" w:cs="宋体"/>
        <w:b/>
        <w:bCs/>
        <w:color w:val="005192"/>
        <w:kern w:val="2"/>
        <w:sz w:val="28"/>
        <w:szCs w:val="44"/>
        <w:lang w:val="en-US" w:eastAsia="zh-CN" w:bidi="ar-SA"/>
      </w:rPr>
    </w:pPr>
    <w:r>
      <w:rPr>
        <w:rFonts w:hint="eastAsia" w:ascii="宋体" w:hAnsi="宋体" w:eastAsia="宋体" w:cs="宋体"/>
        <w:b/>
        <w:bCs/>
        <w:color w:val="005192"/>
        <w:kern w:val="2"/>
        <w:sz w:val="28"/>
        <w:szCs w:val="44"/>
        <w:lang w:val="en-US" w:eastAsia="zh-CN" w:bidi="ar-SA"/>
      </w:rPr>
      <w:pict>
        <v:line id="直接连接符 5" o:spid="_x0000_s4099" o:spt="20" style="position:absolute;left:0pt;margin-left:-0.75pt;margin-top:14.45pt;height:0.15pt;width:442.25pt;z-index:251660288;mso-width-relative:page;mso-height-relative:page;" filled="f" stroked="t" coordsize="21600,21600" o:gfxdata="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7/JHV9IAAAAGAQAADwAAAAAAAAAB&#10;ACAAAAAiAAAAZHJzL2Rvd25yZXYueG1sUEsBAhQAFAAAAAgAh07iQMGlSZbdAQAAngMAAA4AAAAA&#10;AAAAAQAgAAAAIQEAAGRycy9lMm9Eb2MueG1sUEsFBgAAAAAGAAYAWQEAAHAFAAAAAA==&#10;">
          <v:path arrowok="t"/>
          <v:fill on="f" focussize="0,0"/>
          <v:stroke weight="1.75pt" color="#005192" joinstyle="round"/>
          <v:imagedata o:title=""/>
          <o:lock v:ext="edit" aspectratio="f"/>
        </v:line>
      </w:pict>
    </w:r>
    <w:r>
      <w:rPr>
        <w:rFonts w:hint="eastAsia" w:ascii="宋体" w:hAnsi="宋体" w:eastAsia="宋体" w:cs="宋体"/>
        <w:b/>
        <w:bCs/>
        <w:color w:val="005192"/>
        <w:kern w:val="2"/>
        <w:sz w:val="28"/>
        <w:szCs w:val="44"/>
        <w:lang w:val="en-US" w:eastAsia="zh-CN" w:bidi="ar-SA"/>
      </w:rPr>
      <w:pict>
        <v:shape id="文本框 8" o:spid="_x0000_s4100" o:spt="202" type="#_x0000_t202" style="position:absolute;left:0pt;margin-top:-24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  <w:color w:val="005192"/>
        <w:kern w:val="2"/>
        <w:sz w:val="28"/>
        <w:szCs w:val="44"/>
        <w:lang w:val="en-US" w:eastAsia="zh-CN" w:bidi="ar-SA"/>
      </w:rPr>
      <w:t xml:space="preserve">  </w:t>
    </w:r>
  </w:p>
  <w:p>
    <w:pPr>
      <w:pStyle w:val="6"/>
      <w:ind w:firstLine="1968" w:firstLineChars="700"/>
      <w:jc w:val="both"/>
    </w:pPr>
    <w:r>
      <w:rPr>
        <w:rFonts w:hint="eastAsia" w:ascii="宋体" w:hAnsi="宋体" w:eastAsia="宋体" w:cs="宋体"/>
        <w:b/>
        <w:bCs/>
        <w:color w:val="005192"/>
        <w:kern w:val="2"/>
        <w:sz w:val="28"/>
        <w:szCs w:val="44"/>
        <w:lang w:val="en-US" w:eastAsia="zh-CN" w:bidi="ar-SA"/>
      </w:rPr>
      <w:t xml:space="preserve">                 重庆市梁平区生态环境局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</w:rPr>
      <w:pict>
        <v:line id="直接连接符 4" o:spid="_x0000_s4098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NvklHRAAAACAEAAA8A&#10;AAAAAAAAAQAgAAAAIgAAAGRycy9kb3ducmV2LnhtbFBLAQIUABQAAAAIAIdO4kDCCUu+5QEAAKYD&#10;AAAOAAAAAAAAAAEAIAAAACABAABkcnMvZTJvRG9jLnhtbFBLBQYAAAAABgAGAFkBAAB3BQAAAAA=&#10;">
          <v:path arrowok="t"/>
          <v:fill on="f" focussize="0,0"/>
          <v:stroke weight="1.75pt" color="#005192" joinstyle="round"/>
          <v:imagedata o:title=""/>
          <o:lock v:ext="edit" aspectratio="f"/>
        </v:line>
      </w:pic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pict>
        <v:shape id="_x0000_i1025" o:spt="75" alt="国徽1024" type="#_x0000_t75" style="height:24.3pt;width:24.3pt;" filled="f" o:preferrelative="t" stroked="f" coordsize="21600,21600">
          <v:path/>
          <v:fill on="f" focussize="0,0"/>
          <v:stroke on="f"/>
          <v:imagedata r:id="rId1" o:title=""/>
          <o:lock v:ext="edit" aspectratio="t"/>
          <w10:wrap type="none"/>
          <w10:anchorlock/>
        </v:shape>
      </w:pic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重庆市梁平区生态环境局行政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58"/>
  <w:drawingGridVerticalSpacing w:val="290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ZkOGU0N2U1YWEzMTNjNmYxMTFjY2RiMTFjMDZiY2YifQ=="/>
  </w:docVars>
  <w:rsids>
    <w:rsidRoot w:val="567B3847"/>
    <w:rsid w:val="000B0D7C"/>
    <w:rsid w:val="003A4B71"/>
    <w:rsid w:val="006F197E"/>
    <w:rsid w:val="00BE2D4F"/>
    <w:rsid w:val="00C95697"/>
    <w:rsid w:val="02072978"/>
    <w:rsid w:val="04B654FA"/>
    <w:rsid w:val="0C7634F0"/>
    <w:rsid w:val="0D7B21E4"/>
    <w:rsid w:val="0F6736C4"/>
    <w:rsid w:val="1369193A"/>
    <w:rsid w:val="14561EDD"/>
    <w:rsid w:val="18E97693"/>
    <w:rsid w:val="1C7F4EBE"/>
    <w:rsid w:val="1EE648EF"/>
    <w:rsid w:val="213965D8"/>
    <w:rsid w:val="2653734A"/>
    <w:rsid w:val="2C581633"/>
    <w:rsid w:val="31EE7918"/>
    <w:rsid w:val="33182529"/>
    <w:rsid w:val="372B7218"/>
    <w:rsid w:val="38F55CC3"/>
    <w:rsid w:val="394577A2"/>
    <w:rsid w:val="3A0B2B14"/>
    <w:rsid w:val="3AEA499A"/>
    <w:rsid w:val="3C1E1488"/>
    <w:rsid w:val="3F923B61"/>
    <w:rsid w:val="40C97819"/>
    <w:rsid w:val="423F2635"/>
    <w:rsid w:val="43383643"/>
    <w:rsid w:val="44C12BAE"/>
    <w:rsid w:val="47892B10"/>
    <w:rsid w:val="49B14C06"/>
    <w:rsid w:val="4AC73039"/>
    <w:rsid w:val="50F75232"/>
    <w:rsid w:val="53755060"/>
    <w:rsid w:val="567B3847"/>
    <w:rsid w:val="56D609C7"/>
    <w:rsid w:val="59DC4E2F"/>
    <w:rsid w:val="5A631F5E"/>
    <w:rsid w:val="5D8B6205"/>
    <w:rsid w:val="60A15C9A"/>
    <w:rsid w:val="60D53347"/>
    <w:rsid w:val="622B4AD7"/>
    <w:rsid w:val="647626EA"/>
    <w:rsid w:val="6A103B1F"/>
    <w:rsid w:val="6A2D1603"/>
    <w:rsid w:val="6BBF129C"/>
    <w:rsid w:val="6C842464"/>
    <w:rsid w:val="6D10490B"/>
    <w:rsid w:val="73E55878"/>
    <w:rsid w:val="75D90032"/>
    <w:rsid w:val="78A15A46"/>
    <w:rsid w:val="78FD0B8F"/>
    <w:rsid w:val="7A53044E"/>
    <w:rsid w:val="7B1E797C"/>
    <w:rsid w:val="7CD61138"/>
    <w:rsid w:val="7D2751D0"/>
    <w:rsid w:val="7E235DDE"/>
    <w:rsid w:val="7FE9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99" w:semiHidden="0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keepNext/>
      <w:keepLines/>
      <w:spacing w:line="360" w:lineRule="auto"/>
      <w:outlineLvl w:val="0"/>
    </w:pPr>
    <w:rPr>
      <w:rFonts w:eastAsia="方正黑体_GBK"/>
      <w:kern w:val="44"/>
    </w:rPr>
  </w:style>
  <w:style w:type="paragraph" w:styleId="5">
    <w:name w:val="heading 2"/>
    <w:basedOn w:val="1"/>
    <w:next w:val="1"/>
    <w:qFormat/>
    <w:locked/>
    <w:uiPriority w:val="0"/>
    <w:pPr>
      <w:keepNext/>
      <w:keepLines/>
      <w:spacing w:line="600" w:lineRule="exact"/>
      <w:outlineLvl w:val="1"/>
    </w:pPr>
    <w:rPr>
      <w:rFonts w:eastAsia="方正楷体_GBK"/>
    </w:rPr>
  </w:style>
  <w:style w:type="character" w:default="1" w:styleId="11">
    <w:name w:val="Default Paragraph Font"/>
    <w:semiHidden/>
    <w:qFormat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link w:val="13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Cambria"/>
      <w:sz w:val="24"/>
      <w:szCs w:val="24"/>
    </w:rPr>
  </w:style>
  <w:style w:type="paragraph" w:styleId="3">
    <w:name w:val="Body Text"/>
    <w:basedOn w:val="1"/>
    <w:next w:val="1"/>
    <w:link w:val="14"/>
    <w:qFormat/>
    <w:uiPriority w:val="99"/>
    <w:pPr>
      <w:ind w:left="100" w:firstLine="559"/>
      <w:jc w:val="left"/>
    </w:pPr>
    <w:rPr>
      <w:rFonts w:ascii="宋体" w:hAnsi="宋体" w:cs="宋体"/>
      <w:kern w:val="0"/>
      <w:sz w:val="28"/>
      <w:szCs w:val="28"/>
      <w:lang w:eastAsia="en-US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Body Text 2"/>
    <w:basedOn w:val="1"/>
    <w:link w:val="18"/>
    <w:qFormat/>
    <w:uiPriority w:val="99"/>
    <w:pPr>
      <w:spacing w:after="120" w:line="480" w:lineRule="auto"/>
    </w:pPr>
  </w:style>
  <w:style w:type="paragraph" w:styleId="9">
    <w:name w:val="Body Text First Indent"/>
    <w:basedOn w:val="3"/>
    <w:link w:val="15"/>
    <w:qFormat/>
    <w:uiPriority w:val="99"/>
    <w:pPr>
      <w:adjustRightInd w:val="0"/>
      <w:spacing w:line="275" w:lineRule="atLeast"/>
      <w:ind w:firstLine="420"/>
      <w:textAlignment w:val="baseline"/>
    </w:pPr>
    <w:rPr>
      <w:rFonts w:eastAsia="楷体_GB2312"/>
      <w:sz w:val="24"/>
      <w:szCs w:val="24"/>
    </w:rPr>
  </w:style>
  <w:style w:type="character" w:styleId="12">
    <w:name w:val="page number"/>
    <w:basedOn w:val="11"/>
    <w:qFormat/>
    <w:uiPriority w:val="99"/>
  </w:style>
  <w:style w:type="character" w:customStyle="1" w:styleId="13">
    <w:name w:val="Message Header Char"/>
    <w:basedOn w:val="11"/>
    <w:link w:val="2"/>
    <w:semiHidden/>
    <w:qFormat/>
    <w:uiPriority w:val="99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character" w:customStyle="1" w:styleId="14">
    <w:name w:val="Body Text Char"/>
    <w:basedOn w:val="11"/>
    <w:link w:val="3"/>
    <w:semiHidden/>
    <w:qFormat/>
    <w:uiPriority w:val="99"/>
    <w:rPr>
      <w:rFonts w:eastAsia="方正仿宋_GBK"/>
      <w:sz w:val="32"/>
      <w:szCs w:val="32"/>
    </w:rPr>
  </w:style>
  <w:style w:type="character" w:customStyle="1" w:styleId="15">
    <w:name w:val="Body Text First Indent Char"/>
    <w:basedOn w:val="14"/>
    <w:link w:val="9"/>
    <w:semiHidden/>
    <w:qFormat/>
    <w:uiPriority w:val="99"/>
  </w:style>
  <w:style w:type="character" w:customStyle="1" w:styleId="16">
    <w:name w:val="Footer Char"/>
    <w:basedOn w:val="11"/>
    <w:link w:val="6"/>
    <w:semiHidden/>
    <w:qFormat/>
    <w:uiPriority w:val="99"/>
    <w:rPr>
      <w:rFonts w:eastAsia="方正仿宋_GBK"/>
      <w:sz w:val="18"/>
      <w:szCs w:val="18"/>
    </w:rPr>
  </w:style>
  <w:style w:type="character" w:customStyle="1" w:styleId="17">
    <w:name w:val="Header Char"/>
    <w:basedOn w:val="11"/>
    <w:link w:val="7"/>
    <w:semiHidden/>
    <w:qFormat/>
    <w:uiPriority w:val="99"/>
    <w:rPr>
      <w:rFonts w:eastAsia="方正仿宋_GBK"/>
      <w:sz w:val="18"/>
      <w:szCs w:val="18"/>
    </w:rPr>
  </w:style>
  <w:style w:type="character" w:customStyle="1" w:styleId="18">
    <w:name w:val="Body Text 2 Char"/>
    <w:basedOn w:val="11"/>
    <w:link w:val="8"/>
    <w:semiHidden/>
    <w:qFormat/>
    <w:uiPriority w:val="99"/>
    <w:rPr>
      <w:rFonts w:eastAsia="方正仿宋_GBK"/>
      <w:sz w:val="32"/>
      <w:szCs w:val="32"/>
    </w:rPr>
  </w:style>
  <w:style w:type="paragraph" w:customStyle="1" w:styleId="1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10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5</Pages>
  <Words>1911</Words>
  <Characters>1929</Characters>
  <Lines>0</Lines>
  <Paragraphs>0</Paragraphs>
  <TotalTime>17</TotalTime>
  <ScaleCrop>false</ScaleCrop>
  <LinksUpToDate>false</LinksUpToDate>
  <CharactersWithSpaces>1936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2022-07-07T07:41:00Z</dcterms:created>
  <dc:creator>Administrator</dc:creator>
  <cp:lastModifiedBy>admin</cp:lastModifiedBy>
  <cp:lastPrinted>2022-08-09T00:32:00Z</cp:lastPrinted>
  <dcterms:modified xsi:type="dcterms:W3CDTF">2025-09-15T08:28:09Z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CFF8851C3AC9405599C7366DE5AF6539</vt:lpwstr>
  </property>
</Properties>
</file>