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重庆市梁平区文化和旅游发展委员会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2021年区级项目资金绩效自评报告</w:t>
      </w:r>
    </w:p>
    <w:p>
      <w:pPr>
        <w:widowControl/>
        <w:snapToGrid w:val="0"/>
        <w:spacing w:line="594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一、项目单位基本情况</w:t>
      </w:r>
    </w:p>
    <w:p>
      <w:pPr>
        <w:widowControl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重庆市梁平区文化和旅游发展委员会(以下简称文旅委)位于重庆市梁平区行政中心1号楼</w:t>
      </w:r>
      <w:r>
        <w:rPr>
          <w:rFonts w:hint="eastAsia" w:ascii="Times New Roman" w:hAnsi="Times New Roman" w:eastAsia="方正仿宋_GBK"/>
          <w:sz w:val="32"/>
          <w:szCs w:val="32"/>
        </w:rPr>
        <w:t>B区5楼</w:t>
      </w:r>
      <w:r>
        <w:rPr>
          <w:rFonts w:ascii="Times New Roman" w:hAnsi="Times New Roman" w:eastAsia="方正仿宋_GBK"/>
          <w:sz w:val="32"/>
          <w:szCs w:val="32"/>
        </w:rPr>
        <w:t>，机构类型为机关，负责人</w:t>
      </w:r>
      <w:r>
        <w:rPr>
          <w:rFonts w:hint="eastAsia" w:ascii="Times New Roman" w:hAnsi="Times New Roman" w:eastAsia="方正仿宋_GBK"/>
          <w:sz w:val="32"/>
          <w:szCs w:val="32"/>
        </w:rPr>
        <w:t>张涌</w:t>
      </w:r>
      <w:r>
        <w:rPr>
          <w:rFonts w:ascii="Times New Roman" w:hAnsi="Times New Roman" w:eastAsia="方正仿宋_GBK"/>
          <w:sz w:val="32"/>
          <w:szCs w:val="32"/>
        </w:rPr>
        <w:t>，隶属区政府工作部门，财政全额拨款单位，下属区文化馆、区图书馆、区文化遗产保护中心、区文物馆理所、区博物馆、区文化市场综合行政执法支队、区旅游发展推广中心等7个事业单位，主要承担全区文化艺术、旅游发展、广播电影电视、文化博物馆、新闻出版等领域的公共文化旅游服务等职责。</w:t>
      </w:r>
    </w:p>
    <w:p>
      <w:pPr>
        <w:snapToGrid w:val="0"/>
        <w:spacing w:line="594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二、绩效目标完成情况分析</w:t>
      </w:r>
    </w:p>
    <w:p>
      <w:pPr>
        <w:snapToGrid w:val="0"/>
        <w:spacing w:line="594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楷体_GB2312" w:eastAsia="方正楷体_GBK" w:cs="楷体_GB2312"/>
          <w:bCs/>
          <w:sz w:val="32"/>
          <w:szCs w:val="32"/>
        </w:rPr>
        <w:t>（一）资金投入情况分析</w:t>
      </w:r>
    </w:p>
    <w:p>
      <w:pPr>
        <w:snapToGrid w:val="0"/>
        <w:spacing w:line="594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项目资金到位情况分析</w:t>
      </w:r>
    </w:p>
    <w:p>
      <w:pPr>
        <w:widowControl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年区文旅委以及下属单位共有区级项目资金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21 </w:t>
      </w:r>
      <w:r>
        <w:rPr>
          <w:rFonts w:ascii="Times New Roman" w:hAnsi="Times New Roman" w:eastAsia="方正仿宋_GBK"/>
          <w:sz w:val="32"/>
          <w:szCs w:val="32"/>
        </w:rPr>
        <w:t>项，总金额</w:t>
      </w:r>
      <w:r>
        <w:rPr>
          <w:rFonts w:hint="eastAsia" w:ascii="Times New Roman" w:hAnsi="Times New Roman" w:eastAsia="方正仿宋_GBK"/>
          <w:sz w:val="32"/>
          <w:szCs w:val="32"/>
        </w:rPr>
        <w:t>2655.6</w:t>
      </w:r>
      <w:r>
        <w:rPr>
          <w:rFonts w:ascii="Times New Roman" w:hAnsi="Times New Roman" w:eastAsia="方正仿宋_GBK"/>
          <w:sz w:val="32"/>
          <w:szCs w:val="32"/>
        </w:rPr>
        <w:t>万元，其中委机关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个项目，分别应急广播建设</w:t>
      </w:r>
      <w:r>
        <w:rPr>
          <w:rFonts w:hint="eastAsia" w:ascii="Times New Roman" w:hAnsi="Times New Roman" w:eastAsia="方正仿宋_GBK"/>
          <w:sz w:val="32"/>
          <w:szCs w:val="32"/>
        </w:rPr>
        <w:t>6.9</w:t>
      </w:r>
      <w:r>
        <w:rPr>
          <w:rFonts w:ascii="Times New Roman" w:hAnsi="Times New Roman" w:eastAsia="方正仿宋_GBK"/>
          <w:sz w:val="32"/>
          <w:szCs w:val="32"/>
        </w:rPr>
        <w:t>万元，群众文化下乡及宣传活动</w:t>
      </w:r>
      <w:r>
        <w:rPr>
          <w:rFonts w:hint="eastAsia" w:ascii="Times New Roman" w:hAnsi="Times New Roman" w:eastAsia="方正仿宋_GBK"/>
          <w:sz w:val="32"/>
          <w:szCs w:val="32"/>
        </w:rPr>
        <w:t>40</w:t>
      </w:r>
      <w:r>
        <w:rPr>
          <w:rFonts w:ascii="Times New Roman" w:hAnsi="Times New Roman" w:eastAsia="方正仿宋_GBK"/>
          <w:sz w:val="32"/>
          <w:szCs w:val="32"/>
        </w:rPr>
        <w:t>万元， 鼓励类中小企业财政扶持政策补助资金</w:t>
      </w:r>
      <w:r>
        <w:rPr>
          <w:rFonts w:hint="eastAsia" w:ascii="Times New Roman" w:hAnsi="Times New Roman" w:eastAsia="方正仿宋_GBK"/>
          <w:sz w:val="32"/>
          <w:szCs w:val="32"/>
        </w:rPr>
        <w:t>9.33</w:t>
      </w:r>
      <w:r>
        <w:rPr>
          <w:rFonts w:ascii="Times New Roman" w:hAnsi="Times New Roman" w:eastAsia="方正仿宋_GBK"/>
          <w:sz w:val="32"/>
          <w:szCs w:val="32"/>
        </w:rPr>
        <w:t>万元，旅游宣传推介费用</w:t>
      </w:r>
      <w:r>
        <w:rPr>
          <w:rFonts w:hint="eastAsia" w:ascii="Times New Roman" w:hAnsi="Times New Roman" w:eastAsia="方正仿宋_GBK"/>
          <w:sz w:val="32"/>
          <w:szCs w:val="32"/>
        </w:rPr>
        <w:t>480.92</w:t>
      </w:r>
      <w:r>
        <w:rPr>
          <w:rFonts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</w:rPr>
        <w:t>旅游厕所补助8.2</w:t>
      </w:r>
      <w:r>
        <w:rPr>
          <w:rFonts w:ascii="Times New Roman" w:hAnsi="Times New Roman" w:eastAsia="方正仿宋_GBK"/>
          <w:sz w:val="32"/>
          <w:szCs w:val="32"/>
        </w:rPr>
        <w:t>万元；区文化馆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个项目，分别是《江姐》灯戏排练和演出</w:t>
      </w:r>
      <w:r>
        <w:rPr>
          <w:rFonts w:hint="eastAsia" w:ascii="Times New Roman" w:hAnsi="Times New Roman" w:eastAsia="方正仿宋_GBK"/>
          <w:sz w:val="32"/>
          <w:szCs w:val="32"/>
        </w:rPr>
        <w:t>50</w:t>
      </w:r>
      <w:r>
        <w:rPr>
          <w:rFonts w:ascii="Times New Roman" w:hAnsi="Times New Roman" w:eastAsia="方正仿宋_GBK"/>
          <w:sz w:val="32"/>
          <w:szCs w:val="32"/>
        </w:rPr>
        <w:t>万元，北门影剧院运行</w:t>
      </w:r>
      <w:r>
        <w:rPr>
          <w:rFonts w:hint="eastAsia" w:ascii="Times New Roman" w:hAnsi="Times New Roman" w:eastAsia="方正仿宋_GBK"/>
          <w:sz w:val="32"/>
          <w:szCs w:val="32"/>
        </w:rPr>
        <w:t>60万元，</w:t>
      </w:r>
      <w:r>
        <w:rPr>
          <w:rFonts w:ascii="Times New Roman" w:hAnsi="Times New Roman" w:eastAsia="方正仿宋_GBK"/>
          <w:sz w:val="32"/>
          <w:szCs w:val="32"/>
        </w:rPr>
        <w:t xml:space="preserve"> 灯戏团运行费用</w:t>
      </w:r>
      <w:r>
        <w:rPr>
          <w:rFonts w:hint="eastAsia" w:ascii="Times New Roman" w:hAnsi="Times New Roman" w:eastAsia="方正仿宋_GBK"/>
          <w:sz w:val="32"/>
          <w:szCs w:val="32"/>
        </w:rPr>
        <w:t>81.7</w:t>
      </w:r>
      <w:r>
        <w:rPr>
          <w:rFonts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</w:rPr>
        <w:t>惠民电影放映工程61.75万元，免费开放35万元</w:t>
      </w:r>
      <w:r>
        <w:rPr>
          <w:rFonts w:ascii="Times New Roman" w:hAnsi="Times New Roman" w:eastAsia="方正仿宋_GBK"/>
          <w:sz w:val="32"/>
          <w:szCs w:val="32"/>
        </w:rPr>
        <w:t>；区文保中心3个项目，分别是</w:t>
      </w:r>
      <w:r>
        <w:rPr>
          <w:rFonts w:hint="eastAsia" w:ascii="Times New Roman" w:hAnsi="Times New Roman" w:eastAsia="方正仿宋_GBK"/>
          <w:sz w:val="32"/>
          <w:szCs w:val="32"/>
        </w:rPr>
        <w:t>非遗</w:t>
      </w:r>
      <w:r>
        <w:rPr>
          <w:rFonts w:ascii="Times New Roman" w:hAnsi="Times New Roman" w:eastAsia="方正仿宋_GBK"/>
          <w:sz w:val="32"/>
          <w:szCs w:val="32"/>
        </w:rPr>
        <w:t>文化保护</w:t>
      </w:r>
      <w:r>
        <w:rPr>
          <w:rFonts w:hint="eastAsia" w:ascii="Times New Roman" w:hAnsi="Times New Roman" w:eastAsia="方正仿宋_GBK"/>
          <w:sz w:val="32"/>
          <w:szCs w:val="32"/>
        </w:rPr>
        <w:t>40</w:t>
      </w:r>
      <w:r>
        <w:rPr>
          <w:rFonts w:ascii="Times New Roman" w:hAnsi="Times New Roman" w:eastAsia="方正仿宋_GBK"/>
          <w:sz w:val="32"/>
          <w:szCs w:val="32"/>
        </w:rPr>
        <w:t>万元和年画重回春节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sz w:val="32"/>
          <w:szCs w:val="32"/>
        </w:rPr>
        <w:t>、梁平铜乐锻造技艺专项保护资金15万元</w:t>
      </w:r>
      <w:r>
        <w:rPr>
          <w:rFonts w:ascii="Times New Roman" w:hAnsi="Times New Roman" w:eastAsia="方正仿宋_GBK"/>
          <w:sz w:val="32"/>
          <w:szCs w:val="32"/>
        </w:rPr>
        <w:t>；区文管所（博物馆）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个项目，分别是</w:t>
      </w:r>
      <w:r>
        <w:rPr>
          <w:rFonts w:hint="eastAsia" w:ascii="Times New Roman" w:hAnsi="Times New Roman" w:eastAsia="方正仿宋_GBK"/>
          <w:sz w:val="32"/>
          <w:szCs w:val="32"/>
        </w:rPr>
        <w:t>博物馆运行98.79万元，双桂堂历史文化陈列馆25万元，文物保护项目支出494.28万元</w:t>
      </w:r>
      <w:r>
        <w:rPr>
          <w:rFonts w:ascii="Times New Roman" w:hAnsi="Times New Roman" w:eastAsia="方正仿宋_GBK"/>
          <w:sz w:val="32"/>
          <w:szCs w:val="32"/>
        </w:rPr>
        <w:t>；区图书馆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个项目，分别是少儿馆建设尾款、武警中队分馆建设</w:t>
      </w:r>
      <w:r>
        <w:rPr>
          <w:rFonts w:hint="eastAsia" w:ascii="Times New Roman" w:hAnsi="Times New Roman" w:eastAsia="方正仿宋_GBK"/>
          <w:sz w:val="32"/>
          <w:szCs w:val="32"/>
        </w:rPr>
        <w:t>130万元，图书购置及运行费211.45万元，少儿馆建设工程款719.59万元</w:t>
      </w:r>
      <w:r>
        <w:rPr>
          <w:rFonts w:ascii="Times New Roman" w:hAnsi="Times New Roman" w:eastAsia="方正仿宋_GBK"/>
          <w:sz w:val="32"/>
          <w:szCs w:val="32"/>
        </w:rPr>
        <w:t>；区文化执法支队2个项目，分别是“扫黄打非”专项办案经费30万元、监控平台运行经费10万元。截止202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年12月31日，重庆市梁平区财政局拨付202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年区级专项资金</w:t>
      </w:r>
      <w:r>
        <w:rPr>
          <w:rFonts w:hint="eastAsia" w:ascii="Times New Roman" w:hAnsi="Times New Roman" w:eastAsia="方正仿宋_GBK"/>
          <w:sz w:val="32"/>
          <w:szCs w:val="32"/>
        </w:rPr>
        <w:t>2655.6</w:t>
      </w:r>
      <w:r>
        <w:rPr>
          <w:rFonts w:ascii="Times New Roman" w:hAnsi="Times New Roman" w:eastAsia="方正仿宋_GBK"/>
          <w:sz w:val="32"/>
          <w:szCs w:val="32"/>
        </w:rPr>
        <w:t>万元，资金到位率100%。</w:t>
      </w:r>
    </w:p>
    <w:p>
      <w:pPr>
        <w:widowControl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2.项目资金执行情况</w:t>
      </w:r>
    </w:p>
    <w:p>
      <w:pPr>
        <w:widowControl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全年执行数</w:t>
      </w:r>
      <w:r>
        <w:rPr>
          <w:rFonts w:hint="eastAsia" w:ascii="Times New Roman" w:hAnsi="Times New Roman" w:eastAsia="方正仿宋_GBK"/>
          <w:sz w:val="32"/>
          <w:szCs w:val="32"/>
        </w:rPr>
        <w:t>2655.6</w:t>
      </w:r>
      <w:r>
        <w:rPr>
          <w:rFonts w:ascii="Times New Roman" w:hAnsi="Times New Roman" w:eastAsia="方正仿宋_GBK"/>
          <w:sz w:val="32"/>
          <w:szCs w:val="32"/>
        </w:rPr>
        <w:t>万元，执行率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方正仿宋_GBK"/>
          <w:sz w:val="32"/>
          <w:szCs w:val="32"/>
        </w:rPr>
        <w:t>%，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个项目的全年目标实际完成情况均为100%。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2021年区文化旅游委再次被文化和旅游部授予中国民间文化艺术之乡，竹山镇入选全国乡村旅游重点镇，区文化综合执法支队、区图书馆同时入选第九届全国服务农民、服务基层文化建设先进集体，区文化馆被评为国家一级文化馆。创排大型红色梁山灯戏《江姐》等剧目2部、红色戏歌3首，成功举办庆祝建党100周年红色灯戏专场，累计开展流动文化服务进村550余场次，惠及22万人次。创作一批文创产品，国家级传承人徐家辉被命名为首批“巴渝特级技师”。成功举办首届耕春节、第四届晒秋节、万石耕春•五子登科梁平潮集、明月山乡村音乐会等重大节会活动，生动展示了梁平“农文旅”发展成果，直接带动文旅消费近5亿元，联合璧山区拓展文化旅游市场，着力构筑“资源共享、线路互推、客源互送、信息互通、市场互融”的旅游合作新模式，吸引璧山区游客近万人次。围绕“一区两群”发展布局，推出红色旅游、非遗旅游、民宿体验游等精品文旅线路10余条。在人民网、新华网等国家级媒体上稿文化旅游宣传信息24条，在重庆日报、华龙网等市级媒体宣传报道梁平文旅信息200余条，参加市内外营销活动100余场次。竹山镇正直社区、安丰社区入选重庆市乡村旅游重点村。</w:t>
      </w:r>
      <w:r>
        <w:rPr>
          <w:rFonts w:ascii="Times New Roman" w:hAnsi="Times New Roman" w:eastAsia="方正仿宋_GBK"/>
          <w:sz w:val="32"/>
          <w:szCs w:val="32"/>
        </w:rPr>
        <w:t>全年全区共接待海内外游客1100.1万人次，实现旅游总收入</w:t>
      </w:r>
      <w:r>
        <w:rPr>
          <w:rFonts w:hint="eastAsia" w:ascii="Times New Roman" w:hAnsi="Times New Roman" w:eastAsia="方正仿宋_GBK"/>
          <w:sz w:val="32"/>
          <w:szCs w:val="32"/>
        </w:rPr>
        <w:t>65.52</w:t>
      </w:r>
      <w:r>
        <w:rPr>
          <w:rFonts w:ascii="Times New Roman" w:hAnsi="Times New Roman" w:eastAsia="方正仿宋_GBK"/>
          <w:sz w:val="32"/>
          <w:szCs w:val="32"/>
        </w:rPr>
        <w:t>亿元，同比分别增长3.</w:t>
      </w:r>
      <w:r>
        <w:rPr>
          <w:rFonts w:hint="eastAsia" w:ascii="Times New Roman" w:hAnsi="Times New Roman" w:eastAsia="方正仿宋_GBK"/>
          <w:sz w:val="32"/>
          <w:szCs w:val="32"/>
        </w:rPr>
        <w:t>74</w:t>
      </w:r>
      <w:r>
        <w:rPr>
          <w:rFonts w:ascii="Times New Roman" w:hAnsi="Times New Roman" w:eastAsia="方正仿宋_GBK"/>
          <w:sz w:val="32"/>
          <w:szCs w:val="32"/>
        </w:rPr>
        <w:t>%，</w:t>
      </w:r>
      <w:r>
        <w:rPr>
          <w:rFonts w:hint="eastAsia" w:ascii="Times New Roman" w:hAnsi="Times New Roman" w:eastAsia="方正仿宋_GBK"/>
          <w:sz w:val="32"/>
          <w:szCs w:val="32"/>
        </w:rPr>
        <w:t>23.24</w:t>
      </w:r>
      <w:r>
        <w:rPr>
          <w:rFonts w:ascii="Times New Roman" w:hAnsi="Times New Roman" w:eastAsia="方正仿宋_GBK"/>
          <w:sz w:val="32"/>
          <w:szCs w:val="32"/>
        </w:rPr>
        <w:t>%。</w:t>
      </w: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继续每年为各乡镇（街道）购买的文化演出服务，进一步丰富广大人民群众的文化生活，满足广大人民群众的基本文化需求，推动公共文化服务均等化、标准化，切实保障广大人民群众的基本文化权益；机关正常运行。</w:t>
      </w: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区文化馆</w:t>
      </w:r>
      <w:r>
        <w:rPr>
          <w:rFonts w:hint="eastAsia" w:ascii="方正仿宋_GBK" w:eastAsia="方正仿宋_GBK"/>
          <w:sz w:val="32"/>
          <w:szCs w:val="32"/>
        </w:rPr>
        <w:t>2021年场馆及各功能厅做到常年对群众实行免费开放。全年举办培训班380余课时；举办、承接各类书画、摄影展览40余场，直接服务群众20多万人。北门影剧院2021年开展专场文艺演出及各类群众文化活动36余场。2021年创作梁山灯戏作品《江姐》、《誓言》、一组灯戏戏歌，其中《西郭先生》入围重庆市第十九届全国“群星奖”重庆选拔赛。开展30余场“送戏曲进校园”活动，选择青少年喜欢的灯戏剧目如《黎明前的小信使》、《三个和尚》等进行展演，在寓教于乐中提升梁山灯戏在年轻群体中的普及力度。亮相南岸区梁平文化周展览，通过传统剧目展演、道具服装展示，给游客带去游园式的奇妙体验。组织梁山灯戏剧团参加原生态民歌节，走进滑石寨景区表演梁山灯戏经典节目《卖驴》、《招女婿》。举办2021年梁山灯戏培训班，招收30名学员系统学习梁山灯戏基本功和唱腔，同时积极组织剧团青年演员参加各类线上线下业务培训，提升专业素养，启动灯戏经典剧目复排工作，让剧团青年演员在国家级和市级非遗传承人的带领下重演优秀剧目，为梁山灯戏传承储备人才。放映惠民电影共计4492余场。</w:t>
      </w: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区图书馆</w:t>
      </w:r>
      <w:r>
        <w:rPr>
          <w:rFonts w:hint="eastAsia" w:ascii="Times New Roman" w:hAnsi="Times New Roman" w:eastAsia="方正仿宋_GBK"/>
          <w:sz w:val="32"/>
          <w:szCs w:val="32"/>
        </w:rPr>
        <w:t>2021年窗口平稳有序开放，全年零投诉，零事故。节假日无休，错时开放保持在64小时/周以上，接待服务读者30万余人次，共办读者证5.5万余个，文献外借量达14万余册次，新增图书3.5万余册。完善图书排架，更新导引标识。组织馆员业务培训5次，乡镇（街道）分馆业务辅导35次。建立了图书馆志愿服务队，优化了少儿图书馆、梁山城区暗桥24小时自助图书馆功能布局，因地制宜打造独具特色的图书馆分馆，让景区分馆继续保持特色和活力，营造好“阅读无处不在”的浓厚氛围，助力文旅融合纵深发展，为乡村文化振兴提供有力支撑。</w:t>
      </w:r>
    </w:p>
    <w:p>
      <w:pPr>
        <w:pStyle w:val="12"/>
        <w:spacing w:line="594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区文保中心</w:t>
      </w:r>
      <w:r>
        <w:rPr>
          <w:rFonts w:hint="eastAsia" w:ascii="Times New Roman" w:hAnsi="Times New Roman" w:eastAsia="方正仿宋_GBK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开展了以梁平木版年画为主题的新年画·新生活系列活动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，制作宣传片并进行线上直播，印制梁平木版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年画元素的日历1万份、年画春联8万幅、年画门神4万份，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研发梁平木版年画文创产品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创作生产了一批木版年画陶瓷杯具和陶瓷画。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对两个土陶生产作坊分别引进了电窑和汽窑。梁平铜乐锻造技艺设备改进，购置了空气锤、熔铜炉等设备。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举办梁山灯戏培训班，共培训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学员30名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组织编撰重庆国家级非遗学术研究丛书之《梁平木版年画》、《梁山灯戏》、《梁平癞子乐鼓》、《梁平抬儿调》、《梁平竹帘》等五项国家级非遗项目理论专著，目前已送至出版社待出版，国家级非遗专著《中国戏曲剧种全集·梁山灯戏》已送至四川人民出版社待出版。举办2021年原生民歌进景区活动。</w:t>
      </w:r>
    </w:p>
    <w:p>
      <w:pPr>
        <w:widowControl/>
        <w:wordWrap w:val="0"/>
        <w:snapToGrid w:val="0"/>
        <w:spacing w:line="610" w:lineRule="exact"/>
        <w:ind w:firstLine="614" w:firstLineChars="192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区文管所（博物馆）</w:t>
      </w:r>
      <w:r>
        <w:rPr>
          <w:rFonts w:hint="eastAsia" w:ascii="Times New Roman" w:hAnsi="Times New Roman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</w:rPr>
        <w:t>完成了李光华烈士墓、姚家湾民居（李光华兵工厂）、青云寺抢险排危工程，继续推进赤牛城遗址考古发掘工作，实现考古发掘面积9</w:t>
      </w:r>
      <w:r>
        <w:rPr>
          <w:rFonts w:ascii="方正仿宋_GBK" w:eastAsia="方正仿宋_GBK"/>
          <w:sz w:val="32"/>
          <w:szCs w:val="32"/>
        </w:rPr>
        <w:t>00</w:t>
      </w:r>
      <w:r>
        <w:rPr>
          <w:rFonts w:hint="eastAsia" w:ascii="方正仿宋_GBK" w:eastAsia="方正仿宋_GBK"/>
          <w:sz w:val="32"/>
          <w:szCs w:val="32"/>
        </w:rPr>
        <w:t>平方米，考古调查面积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万平方米，重点勘探面积1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万平方米，双桂堂历史文化陈列馆对外开放，接待游客6万余人次，梁平博物馆持续对外开放，接待游客1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万余人次，举办和引进各类活动、讲座、展览2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余场，丰富了梁平市民的文化娱乐活动，实现教育研学1</w:t>
      </w:r>
      <w:r>
        <w:rPr>
          <w:rFonts w:ascii="方正仿宋_GBK" w:eastAsia="方正仿宋_GBK"/>
          <w:sz w:val="32"/>
          <w:szCs w:val="32"/>
        </w:rPr>
        <w:t>00</w:t>
      </w:r>
      <w:r>
        <w:rPr>
          <w:rFonts w:hint="eastAsia" w:ascii="方正仿宋_GBK" w:eastAsia="方正仿宋_GBK"/>
          <w:sz w:val="32"/>
          <w:szCs w:val="32"/>
        </w:rPr>
        <w:t>余场，极大的发挥了博物馆社会文化功能。</w:t>
      </w:r>
    </w:p>
    <w:p>
      <w:pPr>
        <w:widowControl/>
        <w:wordWrap w:val="0"/>
        <w:snapToGrid w:val="0"/>
        <w:spacing w:line="610" w:lineRule="exact"/>
        <w:ind w:firstLine="614" w:firstLineChars="192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区文化市场综合执法支队有效开展 “清源”、“护苗”、“净网”和“扫黄打非”等专项行动，</w:t>
      </w:r>
      <w:r>
        <w:rPr>
          <w:rFonts w:hint="eastAsia" w:ascii="方正仿宋_GBK" w:eastAsia="方正仿宋_GBK"/>
          <w:sz w:val="32"/>
          <w:szCs w:val="32"/>
        </w:rPr>
        <w:t>接受文化市场举报27 起，完成案件21起，罚款 3万元，收缴非法出版物,900册，保障了文化市场稳定有序。</w:t>
      </w:r>
      <w:r>
        <w:rPr>
          <w:rFonts w:ascii="Times New Roman" w:hAnsi="Times New Roman" w:eastAsia="方正仿宋_GBK"/>
          <w:sz w:val="32"/>
          <w:szCs w:val="32"/>
        </w:rPr>
        <w:t>网络监控平台对全区网吧进行了全覆盖监控，全天24小时监控全区网吧经营活动，有效整顿、管理了网吧秩序，维护了文化市场的稳定有序，提高了网吧治安防控能力，保护了上网消费者的合法权益。</w:t>
      </w:r>
    </w:p>
    <w:p>
      <w:pPr>
        <w:widowControl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3.项目资金管理情况分析</w:t>
      </w:r>
    </w:p>
    <w:p>
      <w:pPr>
        <w:widowControl/>
        <w:snapToGrid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委机关及下属单位项目资金管理均严格按照相关法律法规执行，专款专用。对项目的实施实行项目管理责任制，项目负责人根据通过的项目计划和实施方案，具体组织项目实施。财务室按照财务、预算管理制度，对专项资金项目的实施、付款等环节进行管理和监督</w:t>
      </w:r>
    </w:p>
    <w:p>
      <w:pPr>
        <w:snapToGrid w:val="0"/>
        <w:spacing w:line="594" w:lineRule="exact"/>
        <w:ind w:firstLine="640" w:firstLineChars="200"/>
        <w:outlineLvl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楷体_GB2312" w:eastAsia="方正楷体_GBK" w:cs="楷体_GB2312"/>
          <w:bCs/>
          <w:sz w:val="32"/>
          <w:szCs w:val="32"/>
        </w:rPr>
        <w:t>（二）绩效目标完成情况分析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1.产出指标完成情况分析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（1）数量指标。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个项目全部完成年度指标值，完成比例为100%。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（2）质量指标。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个项目全年均保质保量完成，完成比例为100%。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（3）时效指标。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个项目均在</w:t>
      </w:r>
      <w:r>
        <w:rPr>
          <w:rFonts w:hint="eastAsia" w:ascii="Times New Roman" w:hAnsi="Times New Roman" w:eastAsia="方正仿宋_GBK"/>
          <w:sz w:val="32"/>
          <w:szCs w:val="32"/>
        </w:rPr>
        <w:t>2021</w:t>
      </w:r>
      <w:r>
        <w:rPr>
          <w:rFonts w:ascii="Times New Roman" w:hAnsi="Times New Roman" w:eastAsia="方正仿宋_GBK"/>
          <w:sz w:val="32"/>
          <w:szCs w:val="32"/>
        </w:rPr>
        <w:t>年12月底前完成，完成比例为100%。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（4）成本指标。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个项目均控制在预算项目内，完成比例为100%。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2.效益指标完成情况分析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（1）经济效益。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个项目均为公共投资，不直接产生经济效益。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（2）社会效益。</w:t>
      </w:r>
      <w:r>
        <w:rPr>
          <w:rFonts w:hint="eastAsia" w:ascii="Times New Roman" w:hAnsi="Times New Roman" w:eastAsia="方正仿宋_GBK"/>
          <w:sz w:val="32"/>
          <w:szCs w:val="32"/>
        </w:rPr>
        <w:t>旅游直接从业人员达4500余人，间接从业人员50000余人，带动景区周边农民发展农家乐、民宿产业；</w:t>
      </w:r>
      <w:r>
        <w:rPr>
          <w:rFonts w:ascii="Times New Roman" w:hAnsi="Times New Roman" w:eastAsia="方正仿宋_GBK"/>
          <w:sz w:val="32"/>
          <w:szCs w:val="32"/>
        </w:rPr>
        <w:t>保障了广大群众的基本文化权益，使人民群众成为免费开放的重要参与者和最大收益者，共享改革开放带来的文化发展成果，绩效指标完成情况为优。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（3）生态效益。政府不断加大投入，努力完善基础设施，改建装修了我区部门文化旅游基础设施，为城乡人民群众享受基本公共文化权益提供了有力保障，绩效指标完成情况为优。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（4）可持续影响。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个项目中大部分均持续数年，采取各种形式，广泛宣传，努力营造文化氛围，扩大了公众知晓率，进一步保障了广大群众的基本文化权益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  <w:r>
        <w:rPr>
          <w:rFonts w:ascii="Times New Roman" w:hAnsi="Times New Roman" w:eastAsia="方正仿宋_GBK"/>
          <w:sz w:val="32"/>
          <w:szCs w:val="32"/>
        </w:rPr>
        <w:t>旅游经济发展带动全区宾馆、酒店、餐饮、交通消费持续增长，从而增加全区GDP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绩效指标完成情况为优。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（5）满意度指标：我们对100位社会公众进行了问卷调查,满意率达到9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5%，绩效指标完成情况为优，不满意项为群众希望进一步完善重大基础设施来为更多的群众服务。</w:t>
      </w:r>
    </w:p>
    <w:p>
      <w:pPr>
        <w:snapToGrid w:val="0"/>
        <w:spacing w:line="594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二、未完成绩效目标的原因和下一步改进措施</w:t>
      </w:r>
    </w:p>
    <w:p>
      <w:pPr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无。</w:t>
      </w:r>
      <w:bookmarkStart w:id="0" w:name="_GoBack"/>
      <w:bookmarkEnd w:id="0"/>
    </w:p>
    <w:p>
      <w:pPr>
        <w:snapToGrid w:val="0"/>
        <w:spacing w:line="594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三、绩效自评结果拟应用和公开情况</w:t>
      </w: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项目绩效自评工作小组按照项目评价相关文件，从资金投入情况、绩效目标完成情况对202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年我委区级项目进行综合评价，经评价，202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年度运行保障项目综合评价等次为优秀，达到了预期设定的项目绩效目标。</w:t>
      </w: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widowControl/>
        <w:wordWrap w:val="0"/>
        <w:snapToGrid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widowControl/>
        <w:snapToGrid w:val="0"/>
        <w:spacing w:line="594" w:lineRule="exact"/>
        <w:ind w:firstLine="3520" w:firstLineChars="1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重庆市梁平区文化和旅游发展委员会</w:t>
      </w:r>
    </w:p>
    <w:p>
      <w:pPr>
        <w:widowControl/>
        <w:wordWrap w:val="0"/>
        <w:snapToGrid w:val="0"/>
        <w:spacing w:line="594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TA1ZTNjMGUxOThlNTkyMDU4ZTBiNzk4NzRkM2EifQ=="/>
  </w:docVars>
  <w:rsids>
    <w:rsidRoot w:val="00E5527A"/>
    <w:rsid w:val="00093163"/>
    <w:rsid w:val="000F214A"/>
    <w:rsid w:val="001A2DC1"/>
    <w:rsid w:val="00245F2C"/>
    <w:rsid w:val="0026495C"/>
    <w:rsid w:val="00395F51"/>
    <w:rsid w:val="003B3B78"/>
    <w:rsid w:val="003F1D81"/>
    <w:rsid w:val="00425DEE"/>
    <w:rsid w:val="004A6BDF"/>
    <w:rsid w:val="004B6B3A"/>
    <w:rsid w:val="004D04D6"/>
    <w:rsid w:val="005C2DDA"/>
    <w:rsid w:val="005D5A74"/>
    <w:rsid w:val="00605CDE"/>
    <w:rsid w:val="00632440"/>
    <w:rsid w:val="006546E6"/>
    <w:rsid w:val="006C3EB2"/>
    <w:rsid w:val="006E6257"/>
    <w:rsid w:val="006F6E8A"/>
    <w:rsid w:val="007534D0"/>
    <w:rsid w:val="00764388"/>
    <w:rsid w:val="007A081D"/>
    <w:rsid w:val="008C06D0"/>
    <w:rsid w:val="00981B01"/>
    <w:rsid w:val="009F3B35"/>
    <w:rsid w:val="00A3155E"/>
    <w:rsid w:val="00A67336"/>
    <w:rsid w:val="00AA3901"/>
    <w:rsid w:val="00B76F69"/>
    <w:rsid w:val="00B84C3D"/>
    <w:rsid w:val="00B919B6"/>
    <w:rsid w:val="00BF0B11"/>
    <w:rsid w:val="00CA1FD4"/>
    <w:rsid w:val="00CA6A85"/>
    <w:rsid w:val="00DF68D8"/>
    <w:rsid w:val="00E5527A"/>
    <w:rsid w:val="00F1227F"/>
    <w:rsid w:val="00F37E14"/>
    <w:rsid w:val="00FE61D4"/>
    <w:rsid w:val="04AC4F14"/>
    <w:rsid w:val="04CA0172"/>
    <w:rsid w:val="06800769"/>
    <w:rsid w:val="0B52745A"/>
    <w:rsid w:val="10CC0032"/>
    <w:rsid w:val="19020AD4"/>
    <w:rsid w:val="1B160721"/>
    <w:rsid w:val="1E487351"/>
    <w:rsid w:val="20AB1709"/>
    <w:rsid w:val="216744DA"/>
    <w:rsid w:val="291B5B75"/>
    <w:rsid w:val="2C7C2767"/>
    <w:rsid w:val="2D01060A"/>
    <w:rsid w:val="2DC04D4F"/>
    <w:rsid w:val="2E042D53"/>
    <w:rsid w:val="32FA24C6"/>
    <w:rsid w:val="34BB2805"/>
    <w:rsid w:val="3876563A"/>
    <w:rsid w:val="3C96695B"/>
    <w:rsid w:val="42A60EBA"/>
    <w:rsid w:val="42C355BC"/>
    <w:rsid w:val="43CB0EB0"/>
    <w:rsid w:val="447D2D35"/>
    <w:rsid w:val="469D6881"/>
    <w:rsid w:val="49F42032"/>
    <w:rsid w:val="4AC319F1"/>
    <w:rsid w:val="4B111CB6"/>
    <w:rsid w:val="4C9023B9"/>
    <w:rsid w:val="4FFF690C"/>
    <w:rsid w:val="5013314D"/>
    <w:rsid w:val="50794A94"/>
    <w:rsid w:val="52126FF0"/>
    <w:rsid w:val="55D668E1"/>
    <w:rsid w:val="584F380A"/>
    <w:rsid w:val="599F111A"/>
    <w:rsid w:val="5FC11588"/>
    <w:rsid w:val="61CF5863"/>
    <w:rsid w:val="62B336AF"/>
    <w:rsid w:val="66166DD5"/>
    <w:rsid w:val="67EF47F4"/>
    <w:rsid w:val="694168C0"/>
    <w:rsid w:val="6AE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/>
      <w:kern w:val="2"/>
      <w:sz w:val="24"/>
      <w:lang w:val="en-US" w:eastAsia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3654</Words>
  <Characters>3894</Characters>
  <Lines>27</Lines>
  <Paragraphs>7</Paragraphs>
  <TotalTime>3</TotalTime>
  <ScaleCrop>false</ScaleCrop>
  <LinksUpToDate>false</LinksUpToDate>
  <CharactersWithSpaces>3900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2022-05-26T08:28:00Z</dcterms:created>
  <dc:creator>pc</dc:creator>
  <cp:lastModifiedBy>阿莲</cp:lastModifiedBy>
  <cp:lastPrinted>2020-05-26T09:16:00Z</cp:lastPrinted>
  <dcterms:modified xsi:type="dcterms:W3CDTF">2022-05-26T08:48:38Z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AF15AF66507B45BBB318A7117DB29074</vt:lpwstr>
  </property>
</Properties>
</file>