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600" w:lineRule="exact"/>
        <w:jc w:val="center"/>
        <w:rPr>
          <w:rFonts w:hint="eastAsia" w:ascii="宋体" w:hAnsi="宋体" w:cs="宋体"/>
          <w:color w:val="auto"/>
          <w:sz w:val="52"/>
        </w:rPr>
      </w:pPr>
      <w:r>
        <w:rPr>
          <w:rFonts w:hint="eastAsia" w:ascii="宋体" w:hAnsi="宋体" w:cs="宋体"/>
          <w:color w:val="auto"/>
          <w:sz w:val="52"/>
        </w:rPr>
        <w:t xml:space="preserve"> </w:t>
      </w:r>
    </w:p>
    <w:p>
      <w:pPr>
        <w:snapToGrid w:val="0"/>
        <w:spacing w:line="1600" w:lineRule="exact"/>
        <w:jc w:val="center"/>
        <w:rPr>
          <w:rFonts w:hint="eastAsia" w:ascii="宋体" w:hAnsi="宋体" w:cs="宋体"/>
          <w:color w:val="auto"/>
          <w:sz w:val="120"/>
          <w:szCs w:val="120"/>
        </w:rPr>
      </w:pPr>
    </w:p>
    <w:p>
      <w:pPr>
        <w:snapToGrid w:val="0"/>
        <w:spacing w:line="1600" w:lineRule="exact"/>
        <w:jc w:val="center"/>
        <w:rPr>
          <w:rFonts w:hint="eastAsia" w:ascii="宋体" w:hAnsi="宋体" w:cs="宋体"/>
          <w:b/>
          <w:color w:val="auto"/>
          <w:sz w:val="130"/>
        </w:rPr>
      </w:pPr>
      <w:r>
        <w:rPr>
          <w:rFonts w:hint="eastAsia" w:ascii="宋体" w:hAnsi="宋体" w:cs="宋体"/>
          <w:color w:val="auto"/>
          <w:sz w:val="120"/>
          <w:szCs w:val="120"/>
        </w:rPr>
        <w:t>询价通知书</w:t>
      </w:r>
    </w:p>
    <w:p>
      <w:pPr>
        <w:snapToGrid w:val="0"/>
        <w:spacing w:line="500" w:lineRule="exact"/>
        <w:jc w:val="center"/>
        <w:rPr>
          <w:rFonts w:hint="eastAsia" w:ascii="宋体" w:hAnsi="宋体" w:cs="宋体"/>
          <w:b/>
          <w:color w:val="auto"/>
          <w:sz w:val="32"/>
        </w:rPr>
      </w:pPr>
    </w:p>
    <w:p>
      <w:pPr>
        <w:snapToGrid w:val="0"/>
        <w:spacing w:line="500" w:lineRule="exact"/>
        <w:jc w:val="center"/>
        <w:rPr>
          <w:rFonts w:hint="eastAsia" w:ascii="宋体" w:hAnsi="宋体" w:cs="宋体"/>
          <w:b/>
          <w:color w:val="auto"/>
          <w:sz w:val="32"/>
        </w:rPr>
      </w:pPr>
    </w:p>
    <w:p>
      <w:pPr>
        <w:snapToGrid w:val="0"/>
        <w:spacing w:line="500" w:lineRule="exact"/>
        <w:jc w:val="center"/>
        <w:rPr>
          <w:rFonts w:hint="eastAsia" w:ascii="宋体" w:hAnsi="宋体" w:cs="宋体"/>
          <w:b/>
          <w:color w:val="auto"/>
          <w:sz w:val="32"/>
        </w:rPr>
      </w:pPr>
    </w:p>
    <w:p>
      <w:pPr>
        <w:snapToGrid w:val="0"/>
        <w:spacing w:line="500" w:lineRule="exact"/>
        <w:jc w:val="center"/>
        <w:rPr>
          <w:rFonts w:hint="eastAsia" w:ascii="宋体" w:hAnsi="宋体" w:cs="宋体"/>
          <w:b/>
          <w:color w:val="auto"/>
          <w:sz w:val="32"/>
        </w:rPr>
      </w:pPr>
    </w:p>
    <w:p>
      <w:pPr>
        <w:snapToGrid w:val="0"/>
        <w:spacing w:line="500" w:lineRule="exact"/>
        <w:jc w:val="center"/>
        <w:rPr>
          <w:rFonts w:hint="eastAsia" w:ascii="宋体" w:hAnsi="宋体" w:cs="宋体"/>
          <w:b/>
          <w:color w:val="auto"/>
          <w:sz w:val="32"/>
        </w:rPr>
      </w:pPr>
    </w:p>
    <w:p>
      <w:pPr>
        <w:snapToGrid w:val="0"/>
        <w:spacing w:line="500" w:lineRule="exact"/>
        <w:ind w:left="2887" w:leftChars="228" w:hanging="2249" w:hangingChars="700"/>
        <w:rPr>
          <w:rFonts w:hint="eastAsia" w:ascii="宋体" w:hAnsi="宋体" w:eastAsia="宋体" w:cs="宋体"/>
          <w:b/>
          <w:color w:val="auto"/>
          <w:sz w:val="32"/>
          <w:lang w:eastAsia="zh-CN"/>
        </w:rPr>
      </w:pPr>
      <w:r>
        <w:rPr>
          <w:rFonts w:hint="eastAsia" w:ascii="宋体" w:hAnsi="宋体" w:cs="宋体"/>
          <w:b/>
          <w:color w:val="auto"/>
          <w:sz w:val="32"/>
        </w:rPr>
        <w:t>项目名称：</w:t>
      </w:r>
      <w:r>
        <w:rPr>
          <w:rFonts w:hint="eastAsia" w:ascii="宋体" w:hAnsi="宋体" w:cs="宋体"/>
          <w:b/>
          <w:color w:val="auto"/>
          <w:sz w:val="32"/>
          <w:szCs w:val="32"/>
          <w:lang w:eastAsia="zh-CN"/>
        </w:rPr>
        <w:t>梁平区疾控中心2022年流调队伍装备采购</w:t>
      </w:r>
    </w:p>
    <w:p>
      <w:pPr>
        <w:snapToGrid w:val="0"/>
        <w:spacing w:line="500" w:lineRule="exact"/>
        <w:jc w:val="center"/>
        <w:rPr>
          <w:rFonts w:hint="eastAsia" w:ascii="宋体" w:hAnsi="宋体" w:cs="宋体"/>
          <w:b/>
          <w:color w:val="auto"/>
          <w:sz w:val="32"/>
        </w:rPr>
      </w:pPr>
    </w:p>
    <w:p>
      <w:pPr>
        <w:pStyle w:val="5"/>
        <w:rPr>
          <w:rFonts w:hint="eastAsia" w:ascii="宋体" w:hAnsi="宋体" w:cs="宋体"/>
          <w:color w:val="auto"/>
        </w:rPr>
      </w:pPr>
    </w:p>
    <w:p>
      <w:pPr>
        <w:snapToGrid w:val="0"/>
        <w:spacing w:line="500" w:lineRule="exact"/>
        <w:ind w:firstLine="643" w:firstLineChars="200"/>
        <w:rPr>
          <w:rFonts w:hint="eastAsia" w:ascii="宋体" w:hAnsi="宋体" w:cs="宋体"/>
          <w:b/>
          <w:color w:val="auto"/>
          <w:sz w:val="32"/>
          <w:szCs w:val="32"/>
        </w:rPr>
      </w:pPr>
      <w:r>
        <w:rPr>
          <w:rFonts w:hint="eastAsia" w:ascii="宋体" w:hAnsi="宋体" w:cs="宋体"/>
          <w:b/>
          <w:color w:val="auto"/>
          <w:sz w:val="32"/>
          <w:szCs w:val="32"/>
        </w:rPr>
        <w:t>采购人（盖章）：重庆市梁平区疾病预防控制中心</w:t>
      </w:r>
    </w:p>
    <w:p>
      <w:pPr>
        <w:snapToGrid w:val="0"/>
        <w:spacing w:line="500" w:lineRule="exact"/>
        <w:rPr>
          <w:rFonts w:hint="eastAsia" w:ascii="宋体" w:hAnsi="宋体" w:cs="宋体"/>
          <w:b/>
          <w:color w:val="auto"/>
          <w:sz w:val="32"/>
          <w:szCs w:val="32"/>
        </w:rPr>
      </w:pPr>
    </w:p>
    <w:p>
      <w:pPr>
        <w:snapToGrid w:val="0"/>
        <w:spacing w:line="500" w:lineRule="exact"/>
        <w:rPr>
          <w:rFonts w:hint="eastAsia" w:ascii="宋体" w:hAnsi="宋体" w:cs="宋体"/>
          <w:b/>
          <w:color w:val="auto"/>
          <w:sz w:val="32"/>
          <w:szCs w:val="32"/>
        </w:rPr>
      </w:pPr>
    </w:p>
    <w:p>
      <w:pPr>
        <w:snapToGrid w:val="0"/>
        <w:spacing w:line="500" w:lineRule="exact"/>
        <w:ind w:firstLine="472" w:firstLineChars="147"/>
        <w:rPr>
          <w:rFonts w:hint="eastAsia" w:ascii="宋体" w:hAnsi="宋体" w:cs="宋体"/>
          <w:b/>
          <w:color w:val="auto"/>
          <w:sz w:val="32"/>
          <w:szCs w:val="32"/>
        </w:rPr>
      </w:pPr>
      <w:r>
        <w:rPr>
          <w:rFonts w:hint="eastAsia" w:ascii="宋体" w:hAnsi="宋体" w:cs="宋体"/>
          <w:b/>
          <w:color w:val="auto"/>
          <w:sz w:val="32"/>
          <w:szCs w:val="32"/>
        </w:rPr>
        <w:t xml:space="preserve">采购代理机构（盖章）：重庆睿洺工程咨询有限公司  </w:t>
      </w:r>
    </w:p>
    <w:p>
      <w:pPr>
        <w:snapToGrid w:val="0"/>
        <w:spacing w:line="500" w:lineRule="exact"/>
        <w:jc w:val="center"/>
        <w:rPr>
          <w:rFonts w:hint="eastAsia" w:ascii="宋体" w:hAnsi="宋体" w:cs="宋体"/>
          <w:b/>
          <w:color w:val="auto"/>
          <w:sz w:val="32"/>
          <w:szCs w:val="32"/>
        </w:rPr>
      </w:pPr>
    </w:p>
    <w:p>
      <w:pPr>
        <w:snapToGrid w:val="0"/>
        <w:spacing w:line="500" w:lineRule="exact"/>
        <w:jc w:val="center"/>
        <w:rPr>
          <w:rFonts w:hint="eastAsia" w:ascii="宋体" w:hAnsi="宋体" w:cs="宋体"/>
          <w:b/>
          <w:color w:val="auto"/>
          <w:sz w:val="32"/>
          <w:szCs w:val="32"/>
        </w:rPr>
      </w:pPr>
    </w:p>
    <w:p>
      <w:pPr>
        <w:snapToGrid w:val="0"/>
        <w:spacing w:line="500" w:lineRule="exact"/>
        <w:jc w:val="center"/>
        <w:rPr>
          <w:rFonts w:hint="eastAsia" w:ascii="宋体" w:hAnsi="宋体" w:cs="宋体"/>
          <w:b/>
          <w:color w:val="auto"/>
          <w:sz w:val="32"/>
          <w:szCs w:val="32"/>
        </w:rPr>
      </w:pPr>
      <w:r>
        <w:rPr>
          <w:rFonts w:hint="eastAsia" w:ascii="宋体" w:hAnsi="宋体" w:cs="宋体"/>
          <w:b/>
          <w:color w:val="auto"/>
          <w:sz w:val="32"/>
          <w:szCs w:val="32"/>
        </w:rPr>
        <w:t>二〇二</w:t>
      </w:r>
      <w:r>
        <w:rPr>
          <w:rFonts w:hint="eastAsia" w:ascii="宋体" w:hAnsi="宋体" w:cs="宋体"/>
          <w:b/>
          <w:color w:val="auto"/>
          <w:sz w:val="32"/>
          <w:szCs w:val="32"/>
          <w:lang w:val="en-US" w:eastAsia="zh-CN"/>
        </w:rPr>
        <w:t>二</w:t>
      </w:r>
      <w:r>
        <w:rPr>
          <w:rFonts w:hint="eastAsia" w:ascii="宋体" w:hAnsi="宋体" w:cs="宋体"/>
          <w:b/>
          <w:color w:val="auto"/>
          <w:sz w:val="32"/>
          <w:szCs w:val="32"/>
        </w:rPr>
        <w:t>年</w:t>
      </w:r>
      <w:r>
        <w:rPr>
          <w:rFonts w:hint="eastAsia" w:ascii="宋体" w:hAnsi="宋体" w:cs="宋体"/>
          <w:b/>
          <w:color w:val="auto"/>
          <w:sz w:val="32"/>
          <w:szCs w:val="32"/>
          <w:lang w:eastAsia="zh-CN"/>
        </w:rPr>
        <w:t>六</w:t>
      </w:r>
      <w:r>
        <w:rPr>
          <w:rFonts w:hint="eastAsia" w:ascii="宋体" w:hAnsi="宋体" w:cs="宋体"/>
          <w:b/>
          <w:color w:val="auto"/>
          <w:sz w:val="32"/>
          <w:szCs w:val="32"/>
        </w:rPr>
        <w:t>月</w:t>
      </w:r>
    </w:p>
    <w:p>
      <w:pPr>
        <w:snapToGrid w:val="0"/>
        <w:spacing w:line="500" w:lineRule="exact"/>
        <w:jc w:val="center"/>
        <w:rPr>
          <w:rFonts w:hint="eastAsia" w:ascii="宋体" w:hAnsi="宋体" w:cs="宋体"/>
          <w:color w:val="auto"/>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cols w:space="720" w:num="1"/>
          <w:titlePg/>
          <w:docGrid w:linePitch="312" w:charSpace="0"/>
        </w:sectPr>
      </w:pPr>
    </w:p>
    <w:p>
      <w:pPr>
        <w:snapToGrid w:val="0"/>
        <w:spacing w:line="500" w:lineRule="exact"/>
        <w:jc w:val="center"/>
        <w:rPr>
          <w:rFonts w:hint="eastAsia" w:ascii="宋体" w:hAnsi="宋体" w:cs="宋体"/>
          <w:color w:val="auto"/>
          <w:sz w:val="44"/>
        </w:rPr>
      </w:pPr>
      <w:r>
        <w:rPr>
          <w:rFonts w:hint="eastAsia" w:ascii="宋体" w:hAnsi="宋体" w:cs="宋体"/>
          <w:color w:val="auto"/>
          <w:sz w:val="44"/>
        </w:rPr>
        <w:t>目  录</w:t>
      </w:r>
    </w:p>
    <w:p>
      <w:pPr>
        <w:pStyle w:val="201"/>
        <w:tabs>
          <w:tab w:val="right" w:leader="dot" w:pos="9412"/>
        </w:tabs>
        <w:spacing w:line="360" w:lineRule="auto"/>
        <w:rPr>
          <w:color w:val="auto"/>
          <w:sz w:val="32"/>
          <w:szCs w:val="32"/>
        </w:rPr>
      </w:pPr>
      <w:r>
        <w:rPr>
          <w:rFonts w:hint="eastAsia" w:ascii="宋体" w:hAnsi="宋体" w:cs="宋体"/>
          <w:color w:val="auto"/>
        </w:rPr>
        <w:fldChar w:fldCharType="begin"/>
      </w:r>
      <w:r>
        <w:rPr>
          <w:rFonts w:hint="eastAsia" w:ascii="宋体" w:hAnsi="宋体" w:cs="宋体"/>
          <w:color w:val="auto"/>
        </w:rPr>
        <w:instrText xml:space="preserve">TOC \o "1-1" \h \u </w:instrText>
      </w:r>
      <w:r>
        <w:rPr>
          <w:rFonts w:hint="eastAsia" w:ascii="宋体" w:hAnsi="宋体" w:cs="宋体"/>
          <w:color w:val="auto"/>
        </w:rPr>
        <w:fldChar w:fldCharType="separate"/>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_Toc12759 </w:instrText>
      </w:r>
      <w:r>
        <w:rPr>
          <w:rFonts w:hint="eastAsia" w:ascii="宋体" w:hAnsi="宋体" w:cs="宋体"/>
          <w:color w:val="auto"/>
          <w:sz w:val="32"/>
          <w:szCs w:val="32"/>
        </w:rPr>
        <w:fldChar w:fldCharType="separate"/>
      </w:r>
      <w:r>
        <w:rPr>
          <w:rFonts w:hint="eastAsia" w:ascii="宋体" w:hAnsi="宋体" w:cs="宋体"/>
          <w:color w:val="auto"/>
          <w:sz w:val="32"/>
          <w:szCs w:val="32"/>
        </w:rPr>
        <w:t>第一篇  询价采购邀请书</w:t>
      </w:r>
      <w:r>
        <w:rPr>
          <w:color w:val="auto"/>
          <w:sz w:val="32"/>
          <w:szCs w:val="32"/>
        </w:rPr>
        <w:tab/>
      </w:r>
      <w:r>
        <w:rPr>
          <w:color w:val="auto"/>
          <w:sz w:val="32"/>
          <w:szCs w:val="32"/>
        </w:rPr>
        <w:fldChar w:fldCharType="begin"/>
      </w:r>
      <w:r>
        <w:rPr>
          <w:color w:val="auto"/>
          <w:sz w:val="32"/>
          <w:szCs w:val="32"/>
        </w:rPr>
        <w:instrText xml:space="preserve"> PAGEREF _Toc12759 \h </w:instrText>
      </w:r>
      <w:r>
        <w:rPr>
          <w:color w:val="auto"/>
          <w:sz w:val="32"/>
          <w:szCs w:val="32"/>
        </w:rPr>
        <w:fldChar w:fldCharType="separate"/>
      </w:r>
      <w:r>
        <w:rPr>
          <w:color w:val="auto"/>
          <w:sz w:val="32"/>
          <w:szCs w:val="32"/>
        </w:rPr>
        <w:t>2</w:t>
      </w:r>
      <w:r>
        <w:rPr>
          <w:color w:val="auto"/>
          <w:sz w:val="32"/>
          <w:szCs w:val="32"/>
        </w:rPr>
        <w:fldChar w:fldCharType="end"/>
      </w:r>
      <w:r>
        <w:rPr>
          <w:rFonts w:hint="eastAsia" w:ascii="宋体" w:hAnsi="宋体" w:cs="宋体"/>
          <w:color w:val="auto"/>
          <w:sz w:val="32"/>
          <w:szCs w:val="32"/>
        </w:rPr>
        <w:fldChar w:fldCharType="end"/>
      </w:r>
    </w:p>
    <w:p>
      <w:pPr>
        <w:pStyle w:val="201"/>
        <w:tabs>
          <w:tab w:val="right" w:leader="dot" w:pos="9412"/>
        </w:tabs>
        <w:spacing w:line="360" w:lineRule="auto"/>
        <w:rPr>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_Toc4263 </w:instrText>
      </w:r>
      <w:r>
        <w:rPr>
          <w:rFonts w:hint="eastAsia" w:ascii="宋体" w:hAnsi="宋体" w:cs="宋体"/>
          <w:color w:val="auto"/>
          <w:sz w:val="32"/>
          <w:szCs w:val="32"/>
        </w:rPr>
        <w:fldChar w:fldCharType="separate"/>
      </w:r>
      <w:r>
        <w:rPr>
          <w:rFonts w:hint="eastAsia" w:ascii="宋体" w:hAnsi="宋体" w:cs="宋体"/>
          <w:color w:val="auto"/>
          <w:sz w:val="32"/>
          <w:szCs w:val="32"/>
        </w:rPr>
        <w:t>第二篇  询价采购项目技术需求</w:t>
      </w:r>
      <w:r>
        <w:rPr>
          <w:color w:val="auto"/>
          <w:sz w:val="32"/>
          <w:szCs w:val="32"/>
        </w:rPr>
        <w:tab/>
      </w:r>
      <w:r>
        <w:rPr>
          <w:color w:val="auto"/>
          <w:sz w:val="32"/>
          <w:szCs w:val="32"/>
        </w:rPr>
        <w:fldChar w:fldCharType="begin"/>
      </w:r>
      <w:r>
        <w:rPr>
          <w:color w:val="auto"/>
          <w:sz w:val="32"/>
          <w:szCs w:val="32"/>
        </w:rPr>
        <w:instrText xml:space="preserve"> PAGEREF _Toc4263 \h </w:instrText>
      </w:r>
      <w:r>
        <w:rPr>
          <w:color w:val="auto"/>
          <w:sz w:val="32"/>
          <w:szCs w:val="32"/>
        </w:rPr>
        <w:fldChar w:fldCharType="separate"/>
      </w:r>
      <w:r>
        <w:rPr>
          <w:color w:val="auto"/>
          <w:sz w:val="32"/>
          <w:szCs w:val="32"/>
        </w:rPr>
        <w:t>5</w:t>
      </w:r>
      <w:r>
        <w:rPr>
          <w:color w:val="auto"/>
          <w:sz w:val="32"/>
          <w:szCs w:val="32"/>
        </w:rPr>
        <w:fldChar w:fldCharType="end"/>
      </w:r>
      <w:r>
        <w:rPr>
          <w:rFonts w:hint="eastAsia" w:ascii="宋体" w:hAnsi="宋体" w:cs="宋体"/>
          <w:color w:val="auto"/>
          <w:sz w:val="32"/>
          <w:szCs w:val="32"/>
        </w:rPr>
        <w:fldChar w:fldCharType="end"/>
      </w:r>
    </w:p>
    <w:p>
      <w:pPr>
        <w:pStyle w:val="201"/>
        <w:tabs>
          <w:tab w:val="right" w:leader="dot" w:pos="9412"/>
        </w:tabs>
        <w:spacing w:line="360" w:lineRule="auto"/>
        <w:rPr>
          <w:rFonts w:hint="eastAsia"/>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_Toc24718 </w:instrText>
      </w:r>
      <w:r>
        <w:rPr>
          <w:rFonts w:hint="eastAsia" w:ascii="宋体" w:hAnsi="宋体" w:cs="宋体"/>
          <w:color w:val="auto"/>
          <w:sz w:val="32"/>
          <w:szCs w:val="32"/>
        </w:rPr>
        <w:fldChar w:fldCharType="separate"/>
      </w:r>
      <w:r>
        <w:rPr>
          <w:rFonts w:hint="eastAsia" w:ascii="宋体" w:hAnsi="宋体" w:cs="宋体"/>
          <w:color w:val="auto"/>
          <w:sz w:val="32"/>
          <w:szCs w:val="32"/>
        </w:rPr>
        <w:t>第三篇  询价采购项目商务要求</w:t>
      </w:r>
      <w:r>
        <w:rPr>
          <w:color w:val="auto"/>
          <w:sz w:val="32"/>
          <w:szCs w:val="32"/>
        </w:rPr>
        <w:tab/>
      </w:r>
      <w:r>
        <w:rPr>
          <w:rFonts w:hint="eastAsia"/>
          <w:color w:val="auto"/>
          <w:sz w:val="32"/>
          <w:szCs w:val="32"/>
        </w:rPr>
        <w:t>2</w:t>
      </w:r>
      <w:r>
        <w:rPr>
          <w:rFonts w:hint="eastAsia" w:ascii="宋体" w:hAnsi="宋体" w:cs="宋体"/>
          <w:color w:val="auto"/>
          <w:sz w:val="32"/>
          <w:szCs w:val="32"/>
        </w:rPr>
        <w:fldChar w:fldCharType="end"/>
      </w:r>
      <w:r>
        <w:rPr>
          <w:rFonts w:hint="eastAsia" w:ascii="宋体" w:hAnsi="宋体" w:cs="宋体"/>
          <w:color w:val="auto"/>
          <w:sz w:val="32"/>
          <w:szCs w:val="32"/>
        </w:rPr>
        <w:t>4</w:t>
      </w:r>
    </w:p>
    <w:p>
      <w:pPr>
        <w:pStyle w:val="201"/>
        <w:tabs>
          <w:tab w:val="right" w:leader="dot" w:pos="9412"/>
        </w:tabs>
        <w:spacing w:line="360" w:lineRule="auto"/>
        <w:rPr>
          <w:rFonts w:hint="eastAsia"/>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_Toc13144 </w:instrText>
      </w:r>
      <w:r>
        <w:rPr>
          <w:rFonts w:hint="eastAsia" w:ascii="宋体" w:hAnsi="宋体" w:cs="宋体"/>
          <w:color w:val="auto"/>
          <w:sz w:val="32"/>
          <w:szCs w:val="32"/>
        </w:rPr>
        <w:fldChar w:fldCharType="separate"/>
      </w:r>
      <w:r>
        <w:rPr>
          <w:rFonts w:hint="eastAsia" w:ascii="宋体" w:hAnsi="宋体" w:cs="宋体"/>
          <w:color w:val="auto"/>
          <w:sz w:val="32"/>
          <w:szCs w:val="32"/>
        </w:rPr>
        <w:t>第四篇  供应商须知</w:t>
      </w:r>
      <w:r>
        <w:rPr>
          <w:color w:val="auto"/>
          <w:sz w:val="32"/>
          <w:szCs w:val="32"/>
        </w:rPr>
        <w:tab/>
      </w:r>
      <w:r>
        <w:rPr>
          <w:rFonts w:hint="eastAsia"/>
          <w:color w:val="auto"/>
          <w:sz w:val="32"/>
          <w:szCs w:val="32"/>
        </w:rPr>
        <w:t>2</w:t>
      </w:r>
      <w:r>
        <w:rPr>
          <w:rFonts w:hint="eastAsia" w:ascii="宋体" w:hAnsi="宋体" w:cs="宋体"/>
          <w:color w:val="auto"/>
          <w:sz w:val="32"/>
          <w:szCs w:val="32"/>
        </w:rPr>
        <w:fldChar w:fldCharType="end"/>
      </w:r>
      <w:r>
        <w:rPr>
          <w:rFonts w:hint="eastAsia" w:ascii="宋体" w:hAnsi="宋体" w:cs="宋体"/>
          <w:color w:val="auto"/>
          <w:sz w:val="32"/>
          <w:szCs w:val="32"/>
        </w:rPr>
        <w:t>7</w:t>
      </w:r>
    </w:p>
    <w:p>
      <w:pPr>
        <w:pStyle w:val="201"/>
        <w:tabs>
          <w:tab w:val="right" w:leader="dot" w:pos="9412"/>
        </w:tabs>
        <w:spacing w:line="360" w:lineRule="auto"/>
        <w:rPr>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_Toc10156 </w:instrText>
      </w:r>
      <w:r>
        <w:rPr>
          <w:rFonts w:hint="eastAsia" w:ascii="宋体" w:hAnsi="宋体" w:cs="宋体"/>
          <w:color w:val="auto"/>
          <w:sz w:val="32"/>
          <w:szCs w:val="32"/>
        </w:rPr>
        <w:fldChar w:fldCharType="separate"/>
      </w:r>
      <w:r>
        <w:rPr>
          <w:rFonts w:hint="eastAsia" w:ascii="宋体" w:hAnsi="宋体" w:cs="宋体"/>
          <w:color w:val="auto"/>
          <w:sz w:val="32"/>
          <w:szCs w:val="32"/>
        </w:rPr>
        <w:t>第五篇  合同主要条款和格式合同（样本）</w:t>
      </w:r>
      <w:r>
        <w:rPr>
          <w:color w:val="auto"/>
          <w:sz w:val="32"/>
          <w:szCs w:val="32"/>
        </w:rPr>
        <w:tab/>
      </w:r>
      <w:r>
        <w:rPr>
          <w:rFonts w:hint="eastAsia" w:ascii="宋体" w:hAnsi="宋体" w:cs="宋体"/>
          <w:color w:val="auto"/>
          <w:sz w:val="32"/>
          <w:szCs w:val="32"/>
        </w:rPr>
        <w:fldChar w:fldCharType="end"/>
      </w:r>
      <w:r>
        <w:rPr>
          <w:rFonts w:hint="eastAsia" w:ascii="宋体" w:hAnsi="宋体" w:cs="宋体"/>
          <w:color w:val="auto"/>
          <w:sz w:val="32"/>
          <w:szCs w:val="32"/>
        </w:rPr>
        <w:t>38</w:t>
      </w:r>
    </w:p>
    <w:p>
      <w:pPr>
        <w:pStyle w:val="201"/>
        <w:tabs>
          <w:tab w:val="right" w:leader="dot" w:pos="9412"/>
        </w:tabs>
        <w:spacing w:line="360" w:lineRule="auto"/>
        <w:rPr>
          <w:rFonts w:hint="eastAsia"/>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_Toc10249 </w:instrText>
      </w:r>
      <w:r>
        <w:rPr>
          <w:rFonts w:hint="eastAsia" w:ascii="宋体" w:hAnsi="宋体" w:cs="宋体"/>
          <w:color w:val="auto"/>
          <w:sz w:val="32"/>
          <w:szCs w:val="32"/>
        </w:rPr>
        <w:fldChar w:fldCharType="separate"/>
      </w:r>
      <w:r>
        <w:rPr>
          <w:rFonts w:hint="eastAsia" w:ascii="宋体" w:hAnsi="宋体" w:cs="宋体"/>
          <w:color w:val="auto"/>
          <w:sz w:val="32"/>
          <w:szCs w:val="32"/>
        </w:rPr>
        <w:t>第六篇  响应文件格式</w:t>
      </w:r>
      <w:r>
        <w:rPr>
          <w:color w:val="auto"/>
          <w:sz w:val="32"/>
          <w:szCs w:val="32"/>
        </w:rPr>
        <w:tab/>
      </w:r>
      <w:r>
        <w:rPr>
          <w:rFonts w:hint="eastAsia"/>
          <w:color w:val="auto"/>
          <w:sz w:val="32"/>
          <w:szCs w:val="32"/>
        </w:rPr>
        <w:t>4</w:t>
      </w:r>
      <w:r>
        <w:rPr>
          <w:rFonts w:hint="eastAsia" w:ascii="宋体" w:hAnsi="宋体" w:cs="宋体"/>
          <w:color w:val="auto"/>
          <w:sz w:val="32"/>
          <w:szCs w:val="32"/>
        </w:rPr>
        <w:fldChar w:fldCharType="end"/>
      </w:r>
      <w:r>
        <w:rPr>
          <w:rFonts w:hint="eastAsia" w:ascii="宋体" w:hAnsi="宋体" w:cs="宋体"/>
          <w:color w:val="auto"/>
          <w:sz w:val="32"/>
          <w:szCs w:val="32"/>
        </w:rPr>
        <w:t>3</w:t>
      </w:r>
    </w:p>
    <w:p>
      <w:pPr>
        <w:pStyle w:val="201"/>
        <w:tabs>
          <w:tab w:val="right" w:leader="dot" w:pos="9412"/>
        </w:tabs>
        <w:rPr>
          <w:color w:val="auto"/>
        </w:rPr>
      </w:pPr>
    </w:p>
    <w:p>
      <w:pPr>
        <w:tabs>
          <w:tab w:val="right" w:leader="dot" w:pos="8400"/>
        </w:tabs>
        <w:snapToGrid w:val="0"/>
        <w:spacing w:line="440" w:lineRule="exact"/>
        <w:ind w:left="280" w:right="-255"/>
        <w:rPr>
          <w:rFonts w:hint="eastAsia" w:ascii="宋体" w:hAnsi="宋体" w:cs="宋体"/>
          <w:color w:val="auto"/>
        </w:rPr>
      </w:pPr>
      <w:r>
        <w:rPr>
          <w:rFonts w:hint="eastAsia" w:ascii="宋体" w:hAnsi="宋体" w:cs="宋体"/>
          <w:color w:val="auto"/>
        </w:rPr>
        <w:fldChar w:fldCharType="end"/>
      </w:r>
    </w:p>
    <w:p>
      <w:pPr>
        <w:tabs>
          <w:tab w:val="left" w:pos="1260"/>
          <w:tab w:val="left" w:pos="1685"/>
          <w:tab w:val="right" w:leader="dot" w:pos="8400"/>
        </w:tabs>
        <w:snapToGrid w:val="0"/>
        <w:spacing w:line="320" w:lineRule="exact"/>
        <w:rPr>
          <w:rFonts w:hint="eastAsia" w:ascii="宋体" w:hAnsi="宋体" w:cs="宋体"/>
          <w:color w:val="auto"/>
        </w:rPr>
        <w:sectPr>
          <w:pgSz w:w="11907" w:h="16840"/>
          <w:pgMar w:top="1134" w:right="1191" w:bottom="1134" w:left="1304" w:header="964" w:footer="992" w:gutter="0"/>
          <w:pgNumType w:start="1"/>
          <w:cols w:space="720" w:num="1"/>
          <w:docGrid w:linePitch="312" w:charSpace="0"/>
        </w:sectPr>
      </w:pPr>
    </w:p>
    <w:p>
      <w:pPr>
        <w:keepNext/>
        <w:tabs>
          <w:tab w:val="left" w:pos="3360"/>
        </w:tabs>
        <w:snapToGrid w:val="0"/>
        <w:spacing w:line="360" w:lineRule="auto"/>
        <w:jc w:val="center"/>
        <w:outlineLvl w:val="0"/>
        <w:rPr>
          <w:rFonts w:hint="eastAsia" w:ascii="宋体" w:hAnsi="宋体" w:cs="宋体"/>
          <w:b/>
          <w:color w:val="auto"/>
          <w:sz w:val="44"/>
        </w:rPr>
      </w:pPr>
      <w:bookmarkStart w:id="0" w:name="_Toc12759"/>
      <w:r>
        <w:rPr>
          <w:rFonts w:hint="eastAsia" w:ascii="宋体" w:hAnsi="宋体" w:cs="宋体"/>
          <w:b/>
          <w:color w:val="auto"/>
          <w:sz w:val="44"/>
        </w:rPr>
        <w:t>第一篇 询价采购邀请书</w:t>
      </w:r>
      <w:bookmarkEnd w:id="0"/>
    </w:p>
    <w:p>
      <w:pPr>
        <w:snapToGrid w:val="0"/>
        <w:spacing w:line="400" w:lineRule="exact"/>
        <w:ind w:firstLine="720" w:firstLineChars="300"/>
        <w:rPr>
          <w:rFonts w:hint="eastAsia" w:ascii="宋体" w:hAnsi="宋体" w:eastAsia="宋体" w:cs="宋体"/>
          <w:b/>
          <w:color w:val="auto"/>
          <w:sz w:val="24"/>
          <w:szCs w:val="24"/>
          <w:u w:val="single"/>
        </w:rPr>
      </w:pPr>
      <w:r>
        <w:rPr>
          <w:rFonts w:hint="eastAsia" w:ascii="宋体" w:hAnsi="宋体" w:cs="宋体"/>
          <w:color w:val="auto"/>
          <w:sz w:val="24"/>
          <w:szCs w:val="24"/>
          <w:u w:val="single"/>
        </w:rPr>
        <w:t>重庆睿洺工程咨询有限公司</w:t>
      </w:r>
      <w:r>
        <w:rPr>
          <w:rFonts w:hint="eastAsia" w:ascii="宋体" w:hAnsi="宋体" w:cs="宋体"/>
          <w:color w:val="auto"/>
          <w:sz w:val="24"/>
          <w:szCs w:val="24"/>
        </w:rPr>
        <w:t>（以下简称：采购代理机构）受</w:t>
      </w:r>
      <w:r>
        <w:rPr>
          <w:rFonts w:hint="eastAsia" w:ascii="宋体" w:hAnsi="宋体" w:cs="宋体"/>
          <w:color w:val="auto"/>
          <w:sz w:val="24"/>
          <w:szCs w:val="24"/>
          <w:u w:val="single"/>
        </w:rPr>
        <w:t>重庆市梁平区疾病预防控制中心</w:t>
      </w:r>
      <w:r>
        <w:rPr>
          <w:rFonts w:hint="eastAsia" w:ascii="宋体" w:hAnsi="宋体" w:cs="宋体"/>
          <w:color w:val="auto"/>
          <w:sz w:val="24"/>
          <w:szCs w:val="24"/>
        </w:rPr>
        <w:t>（采购人名称）（以下简称：采购人）的委托，对</w:t>
      </w:r>
      <w:r>
        <w:rPr>
          <w:rFonts w:hint="eastAsia" w:ascii="宋体" w:hAnsi="宋体" w:cs="宋体"/>
          <w:color w:val="auto"/>
          <w:sz w:val="24"/>
          <w:szCs w:val="24"/>
          <w:u w:val="single"/>
          <w:lang w:eastAsia="zh-CN"/>
        </w:rPr>
        <w:t>梁平区疾控中心2022年流调队伍装备采购</w:t>
      </w:r>
      <w:r>
        <w:rPr>
          <w:rFonts w:hint="eastAsia" w:ascii="宋体" w:hAnsi="宋体" w:cs="宋体"/>
          <w:color w:val="auto"/>
          <w:sz w:val="24"/>
          <w:szCs w:val="24"/>
        </w:rPr>
        <w:t>进行询价采购，欢迎有资格的供应商参加询价。</w:t>
      </w:r>
    </w:p>
    <w:p>
      <w:pPr>
        <w:keepNext/>
        <w:keepLines/>
        <w:pageBreakBefore w:val="0"/>
        <w:widowControl w:val="0"/>
        <w:numPr>
          <w:ilvl w:val="0"/>
          <w:numId w:val="1"/>
        </w:numPr>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采购项目内容</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1"/>
        <w:gridCol w:w="1845"/>
        <w:gridCol w:w="1665"/>
        <w:gridCol w:w="1845"/>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2771" w:type="dxa"/>
            <w:noWrap w:val="0"/>
            <w:vAlign w:val="center"/>
          </w:tcPr>
          <w:p>
            <w:pPr>
              <w:pStyle w:val="28"/>
              <w:pageBreakBefore w:val="0"/>
              <w:widowControl w:val="0"/>
              <w:kinsoku/>
              <w:wordWrap/>
              <w:overflowPunct/>
              <w:topLinePunct w:val="0"/>
              <w:autoSpaceDE/>
              <w:autoSpaceDN/>
              <w:bidi w:val="0"/>
              <w:adjustRightInd/>
              <w:spacing w:line="400" w:lineRule="exact"/>
              <w:ind w:left="0" w:firstLine="482" w:firstLineChars="200"/>
              <w:jc w:val="center"/>
              <w:textAlignment w:val="auto"/>
              <w:outlineLvl w:val="0"/>
              <w:rPr>
                <w:rFonts w:hint="eastAsia" w:ascii="宋体" w:hAnsi="宋体" w:eastAsia="宋体" w:cs="宋体"/>
                <w:b/>
                <w:color w:val="auto"/>
                <w:sz w:val="24"/>
                <w:szCs w:val="24"/>
                <w:lang w:val="en-US" w:eastAsia="zh-CN"/>
              </w:rPr>
            </w:pPr>
            <w:bookmarkStart w:id="1" w:name="_Toc13814"/>
            <w:r>
              <w:rPr>
                <w:rFonts w:hint="eastAsia" w:ascii="宋体" w:hAnsi="宋体" w:eastAsia="宋体" w:cs="宋体"/>
                <w:b/>
                <w:color w:val="auto"/>
                <w:sz w:val="24"/>
                <w:szCs w:val="24"/>
                <w:lang w:val="en-US" w:eastAsia="zh-CN"/>
              </w:rPr>
              <w:t>项目名称</w:t>
            </w:r>
            <w:bookmarkEnd w:id="1"/>
          </w:p>
        </w:tc>
        <w:tc>
          <w:tcPr>
            <w:tcW w:w="1845" w:type="dxa"/>
            <w:noWrap w:val="0"/>
            <w:vAlign w:val="center"/>
          </w:tcPr>
          <w:p>
            <w:pPr>
              <w:pStyle w:val="28"/>
              <w:pageBreakBefore w:val="0"/>
              <w:widowControl w:val="0"/>
              <w:kinsoku/>
              <w:wordWrap/>
              <w:overflowPunct/>
              <w:topLinePunct w:val="0"/>
              <w:autoSpaceDE/>
              <w:autoSpaceDN/>
              <w:bidi w:val="0"/>
              <w:adjustRightInd/>
              <w:spacing w:line="400" w:lineRule="exact"/>
              <w:ind w:left="0" w:leftChars="0" w:firstLine="0" w:firstLineChars="0"/>
              <w:jc w:val="center"/>
              <w:textAlignment w:val="auto"/>
              <w:outlineLvl w:val="0"/>
              <w:rPr>
                <w:rFonts w:hint="eastAsia" w:ascii="宋体" w:hAnsi="宋体" w:eastAsia="宋体" w:cs="宋体"/>
                <w:b/>
                <w:color w:val="auto"/>
                <w:sz w:val="24"/>
                <w:szCs w:val="24"/>
                <w:lang w:val="en-US" w:eastAsia="zh-CN"/>
              </w:rPr>
            </w:pPr>
            <w:bookmarkStart w:id="2" w:name="_Toc7985"/>
            <w:r>
              <w:rPr>
                <w:rFonts w:hint="eastAsia" w:ascii="宋体" w:hAnsi="宋体" w:eastAsia="宋体" w:cs="宋体"/>
                <w:b/>
                <w:color w:val="auto"/>
                <w:sz w:val="24"/>
                <w:szCs w:val="24"/>
                <w:lang w:val="en-US" w:eastAsia="zh-CN"/>
              </w:rPr>
              <w:t>最高限价</w:t>
            </w:r>
          </w:p>
          <w:p>
            <w:pPr>
              <w:pStyle w:val="28"/>
              <w:pageBreakBefore w:val="0"/>
              <w:widowControl w:val="0"/>
              <w:kinsoku/>
              <w:wordWrap/>
              <w:overflowPunct/>
              <w:topLinePunct w:val="0"/>
              <w:autoSpaceDE/>
              <w:autoSpaceDN/>
              <w:bidi w:val="0"/>
              <w:adjustRightInd/>
              <w:spacing w:line="400" w:lineRule="exact"/>
              <w:ind w:left="0" w:leftChars="0" w:firstLine="0" w:firstLineChars="0"/>
              <w:jc w:val="center"/>
              <w:textAlignment w:val="auto"/>
              <w:outlineLvl w:val="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（万元）</w:t>
            </w:r>
            <w:bookmarkEnd w:id="2"/>
          </w:p>
        </w:tc>
        <w:tc>
          <w:tcPr>
            <w:tcW w:w="1665" w:type="dxa"/>
            <w:noWrap w:val="0"/>
            <w:vAlign w:val="center"/>
          </w:tcPr>
          <w:p>
            <w:pPr>
              <w:pStyle w:val="28"/>
              <w:pageBreakBefore w:val="0"/>
              <w:widowControl w:val="0"/>
              <w:kinsoku/>
              <w:wordWrap/>
              <w:overflowPunct/>
              <w:topLinePunct w:val="0"/>
              <w:autoSpaceDE/>
              <w:autoSpaceDN/>
              <w:bidi w:val="0"/>
              <w:adjustRightInd/>
              <w:spacing w:line="400" w:lineRule="exact"/>
              <w:ind w:left="0" w:leftChars="0" w:firstLine="0" w:firstLineChars="0"/>
              <w:jc w:val="center"/>
              <w:textAlignment w:val="auto"/>
              <w:outlineLvl w:val="0"/>
              <w:rPr>
                <w:rFonts w:hint="eastAsia" w:ascii="宋体" w:hAnsi="宋体" w:eastAsia="宋体" w:cs="宋体"/>
                <w:b/>
                <w:color w:val="auto"/>
                <w:sz w:val="24"/>
                <w:szCs w:val="24"/>
                <w:lang w:val="en-US" w:eastAsia="zh-CN"/>
              </w:rPr>
            </w:pPr>
            <w:bookmarkStart w:id="3" w:name="_Toc23271"/>
            <w:r>
              <w:rPr>
                <w:rFonts w:hint="eastAsia" w:ascii="宋体" w:hAnsi="宋体" w:eastAsia="宋体" w:cs="宋体"/>
                <w:b/>
                <w:color w:val="auto"/>
                <w:sz w:val="24"/>
                <w:szCs w:val="24"/>
                <w:lang w:val="en-US" w:eastAsia="zh-CN"/>
              </w:rPr>
              <w:t>询价保证金</w:t>
            </w:r>
            <w:bookmarkEnd w:id="3"/>
            <w:bookmarkStart w:id="4" w:name="_Toc30976"/>
          </w:p>
          <w:p>
            <w:pPr>
              <w:pStyle w:val="28"/>
              <w:pageBreakBefore w:val="0"/>
              <w:widowControl w:val="0"/>
              <w:kinsoku/>
              <w:wordWrap/>
              <w:overflowPunct/>
              <w:topLinePunct w:val="0"/>
              <w:autoSpaceDE/>
              <w:autoSpaceDN/>
              <w:bidi w:val="0"/>
              <w:adjustRightInd/>
              <w:spacing w:line="400" w:lineRule="exact"/>
              <w:ind w:left="0" w:leftChars="0" w:firstLine="0" w:firstLineChars="0"/>
              <w:jc w:val="center"/>
              <w:textAlignment w:val="auto"/>
              <w:outlineLvl w:val="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（万元）</w:t>
            </w:r>
            <w:bookmarkEnd w:id="4"/>
          </w:p>
        </w:tc>
        <w:tc>
          <w:tcPr>
            <w:tcW w:w="1845" w:type="dxa"/>
            <w:noWrap w:val="0"/>
            <w:vAlign w:val="center"/>
          </w:tcPr>
          <w:p>
            <w:pPr>
              <w:pStyle w:val="28"/>
              <w:pageBreakBefore w:val="0"/>
              <w:widowControl w:val="0"/>
              <w:kinsoku/>
              <w:wordWrap/>
              <w:overflowPunct/>
              <w:topLinePunct w:val="0"/>
              <w:autoSpaceDE/>
              <w:autoSpaceDN/>
              <w:bidi w:val="0"/>
              <w:adjustRightInd/>
              <w:spacing w:line="400" w:lineRule="exact"/>
              <w:ind w:left="0" w:leftChars="0" w:firstLine="0" w:firstLineChars="0"/>
              <w:jc w:val="center"/>
              <w:textAlignment w:val="auto"/>
              <w:outlineLvl w:val="0"/>
              <w:rPr>
                <w:rFonts w:hint="eastAsia" w:ascii="宋体" w:hAnsi="宋体" w:eastAsia="宋体" w:cs="宋体"/>
                <w:b/>
                <w:color w:val="auto"/>
                <w:sz w:val="24"/>
                <w:szCs w:val="24"/>
                <w:lang w:val="en-US" w:eastAsia="zh-CN"/>
              </w:rPr>
            </w:pPr>
            <w:bookmarkStart w:id="5" w:name="_Toc26067"/>
            <w:r>
              <w:rPr>
                <w:rFonts w:hint="eastAsia" w:ascii="宋体" w:hAnsi="宋体" w:eastAsia="宋体" w:cs="宋体"/>
                <w:b/>
                <w:bCs/>
                <w:color w:val="auto"/>
                <w:kern w:val="0"/>
                <w:sz w:val="24"/>
                <w:szCs w:val="24"/>
              </w:rPr>
              <w:t>成交供应商数量（名）</w:t>
            </w:r>
            <w:bookmarkEnd w:id="5"/>
          </w:p>
        </w:tc>
        <w:tc>
          <w:tcPr>
            <w:tcW w:w="2012" w:type="dxa"/>
            <w:noWrap w:val="0"/>
            <w:vAlign w:val="center"/>
          </w:tcPr>
          <w:p>
            <w:pPr>
              <w:pStyle w:val="28"/>
              <w:pageBreakBefore w:val="0"/>
              <w:widowControl w:val="0"/>
              <w:kinsoku/>
              <w:wordWrap/>
              <w:overflowPunct/>
              <w:topLinePunct w:val="0"/>
              <w:autoSpaceDE/>
              <w:autoSpaceDN/>
              <w:bidi w:val="0"/>
              <w:adjustRightInd/>
              <w:spacing w:line="400" w:lineRule="exact"/>
              <w:ind w:left="0" w:leftChars="0" w:firstLine="0" w:firstLineChars="0"/>
              <w:jc w:val="center"/>
              <w:textAlignment w:val="auto"/>
              <w:outlineLvl w:val="0"/>
              <w:rPr>
                <w:rFonts w:hint="eastAsia" w:ascii="宋体" w:hAnsi="宋体" w:eastAsia="宋体" w:cs="宋体"/>
                <w:b/>
                <w:color w:val="auto"/>
                <w:sz w:val="24"/>
                <w:szCs w:val="24"/>
                <w:lang w:val="en-US" w:eastAsia="zh-CN"/>
              </w:rPr>
            </w:pPr>
            <w:bookmarkStart w:id="6" w:name="_Toc2831"/>
            <w:r>
              <w:rPr>
                <w:rFonts w:hint="eastAsia" w:ascii="宋体" w:hAnsi="宋体" w:eastAsia="宋体" w:cs="宋体"/>
                <w:b/>
                <w:bCs/>
                <w:color w:val="auto"/>
                <w:kern w:val="0"/>
                <w:sz w:val="24"/>
                <w:szCs w:val="24"/>
              </w:rPr>
              <w:t>采购标的对应的中小企业划分标准所属行业</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771" w:type="dxa"/>
            <w:noWrap w:val="0"/>
            <w:vAlign w:val="center"/>
          </w:tcPr>
          <w:p>
            <w:pPr>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梁平区疾控中心2022年流调队伍装备采购</w:t>
            </w:r>
          </w:p>
        </w:tc>
        <w:tc>
          <w:tcPr>
            <w:tcW w:w="1845" w:type="dxa"/>
            <w:noWrap w:val="0"/>
            <w:vAlign w:val="center"/>
          </w:tcPr>
          <w:p>
            <w:pPr>
              <w:pStyle w:val="28"/>
              <w:pageBreakBefore w:val="0"/>
              <w:widowControl w:val="0"/>
              <w:kinsoku/>
              <w:wordWrap/>
              <w:overflowPunct/>
              <w:topLinePunct w:val="0"/>
              <w:autoSpaceDE/>
              <w:autoSpaceDN/>
              <w:bidi w:val="0"/>
              <w:adjustRightInd/>
              <w:spacing w:line="400" w:lineRule="exact"/>
              <w:ind w:left="0" w:firstLine="480" w:firstLineChars="200"/>
              <w:jc w:val="both"/>
              <w:textAlignment w:val="auto"/>
              <w:outlineLvl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75.07</w:t>
            </w:r>
          </w:p>
        </w:tc>
        <w:tc>
          <w:tcPr>
            <w:tcW w:w="1665" w:type="dxa"/>
            <w:noWrap w:val="0"/>
            <w:vAlign w:val="center"/>
          </w:tcPr>
          <w:p>
            <w:pPr>
              <w:pStyle w:val="28"/>
              <w:pageBreakBefore w:val="0"/>
              <w:widowControl w:val="0"/>
              <w:kinsoku/>
              <w:wordWrap/>
              <w:overflowPunct/>
              <w:topLinePunct w:val="0"/>
              <w:autoSpaceDE/>
              <w:autoSpaceDN/>
              <w:bidi w:val="0"/>
              <w:adjustRightInd/>
              <w:spacing w:line="400" w:lineRule="exact"/>
              <w:ind w:left="0" w:firstLine="480" w:firstLineChars="200"/>
              <w:jc w:val="both"/>
              <w:textAlignment w:val="auto"/>
              <w:outlineLvl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845" w:type="dxa"/>
            <w:noWrap w:val="0"/>
            <w:vAlign w:val="center"/>
          </w:tcPr>
          <w:p>
            <w:pPr>
              <w:pageBreakBefore w:val="0"/>
              <w:widowControl w:val="0"/>
              <w:kinsoku/>
              <w:wordWrap/>
              <w:overflowPunct/>
              <w:topLinePunct w:val="0"/>
              <w:autoSpaceDE/>
              <w:autoSpaceDN/>
              <w:bidi w:val="0"/>
              <w:adjustRightInd/>
              <w:snapToGrid w:val="0"/>
              <w:spacing w:line="400" w:lineRule="exact"/>
              <w:ind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012" w:type="dxa"/>
            <w:noWrap w:val="0"/>
            <w:vAlign w:val="top"/>
          </w:tcPr>
          <w:p>
            <w:pPr>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p>
          <w:p>
            <w:pPr>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其他未列明行业</w:t>
            </w:r>
          </w:p>
        </w:tc>
      </w:tr>
    </w:tbl>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二、资金来源</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财政预算资金，预算金额为 </w:t>
      </w:r>
      <w:r>
        <w:rPr>
          <w:rFonts w:hint="eastAsia" w:ascii="宋体" w:hAnsi="宋体" w:eastAsia="宋体" w:cs="宋体"/>
          <w:color w:val="auto"/>
          <w:sz w:val="24"/>
          <w:szCs w:val="24"/>
          <w:lang w:val="en-US" w:eastAsia="zh-CN"/>
        </w:rPr>
        <w:t>75.07</w:t>
      </w:r>
      <w:r>
        <w:rPr>
          <w:rFonts w:hint="eastAsia" w:ascii="宋体" w:hAnsi="宋体" w:eastAsia="宋体" w:cs="宋体"/>
          <w:color w:val="auto"/>
          <w:sz w:val="24"/>
          <w:szCs w:val="24"/>
        </w:rPr>
        <w:t>万元。</w:t>
      </w:r>
    </w:p>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三、供应商资格要求</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合格供应商应符合政府采购法第二十二条规定的基本条件。</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（一）基本资格条件</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pStyle w:val="2"/>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（二）落实政府采购政策需满足的资格要求：无。</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）特定资格条件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w:t>
      </w:r>
      <w:r>
        <w:rPr>
          <w:rFonts w:hint="eastAsia" w:ascii="宋体" w:hAnsi="宋体" w:eastAsia="宋体" w:cs="宋体"/>
          <w:color w:val="auto"/>
          <w:sz w:val="24"/>
          <w:szCs w:val="24"/>
          <w:lang w:eastAsia="zh-CN"/>
        </w:rPr>
        <w:t>。</w:t>
      </w:r>
    </w:p>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四、询价有关说明</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）凡有意参加</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的供应商，请在</w:t>
      </w:r>
      <w:r>
        <w:rPr>
          <w:rFonts w:hint="eastAsia" w:ascii="宋体" w:hAnsi="宋体" w:eastAsia="宋体" w:cs="宋体"/>
          <w:color w:val="auto"/>
          <w:sz w:val="24"/>
          <w:szCs w:val="24"/>
          <w:lang w:eastAsia="zh-CN"/>
        </w:rPr>
        <w:t>重庆市梁平区卫生健康委员会（http://www.cqlp.gov.cn/wsjkw/）</w:t>
      </w:r>
      <w:r>
        <w:rPr>
          <w:rFonts w:hint="eastAsia" w:ascii="宋体" w:hAnsi="宋体" w:eastAsia="宋体" w:cs="宋体"/>
          <w:color w:val="auto"/>
          <w:sz w:val="24"/>
          <w:szCs w:val="24"/>
        </w:rPr>
        <w:t>上下载或</w:t>
      </w:r>
      <w:r>
        <w:rPr>
          <w:rFonts w:hint="eastAsia" w:ascii="宋体" w:hAnsi="宋体" w:eastAsia="宋体" w:cs="宋体"/>
          <w:color w:val="auto"/>
          <w:sz w:val="24"/>
          <w:szCs w:val="24"/>
          <w:lang w:val="en-US" w:eastAsia="zh-CN"/>
        </w:rPr>
        <w:t>根据</w:t>
      </w:r>
      <w:r>
        <w:rPr>
          <w:rFonts w:hint="eastAsia" w:ascii="宋体" w:hAnsi="宋体" w:eastAsia="宋体" w:cs="宋体"/>
          <w:color w:val="auto"/>
          <w:sz w:val="24"/>
          <w:szCs w:val="24"/>
        </w:rPr>
        <w:t>重庆市梁平区疾病预防控制中心</w:t>
      </w:r>
      <w:r>
        <w:rPr>
          <w:rFonts w:hint="eastAsia" w:ascii="宋体" w:hAnsi="宋体" w:eastAsia="宋体" w:cs="宋体"/>
          <w:color w:val="auto"/>
          <w:sz w:val="24"/>
          <w:szCs w:val="24"/>
          <w:lang w:eastAsia="zh-CN"/>
        </w:rPr>
        <w:t>张贴栏</w:t>
      </w:r>
      <w:r>
        <w:rPr>
          <w:rFonts w:hint="eastAsia" w:ascii="宋体" w:hAnsi="宋体" w:eastAsia="宋体" w:cs="宋体"/>
          <w:color w:val="auto"/>
          <w:sz w:val="24"/>
          <w:szCs w:val="24"/>
          <w:lang w:val="en-US" w:eastAsia="zh-CN"/>
        </w:rPr>
        <w:t>上本项目公告内容联系代理机构</w:t>
      </w:r>
      <w:r>
        <w:rPr>
          <w:rFonts w:hint="eastAsia" w:ascii="宋体" w:hAnsi="宋体" w:eastAsia="宋体" w:cs="宋体"/>
          <w:color w:val="auto"/>
          <w:sz w:val="24"/>
          <w:szCs w:val="24"/>
          <w:lang w:eastAsia="zh-CN"/>
        </w:rPr>
        <w:t>获取</w:t>
      </w:r>
      <w:r>
        <w:rPr>
          <w:rFonts w:hint="eastAsia" w:ascii="宋体" w:hAnsi="宋体" w:eastAsia="宋体" w:cs="宋体"/>
          <w:color w:val="auto"/>
          <w:sz w:val="24"/>
          <w:szCs w:val="24"/>
        </w:rPr>
        <w:t>本项目</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文件以及图纸、澄清等</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前公布的所有项目资料，无论供应商下载或领取与否，均视为已知晓所有磋商实质性要求内容。</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）询价采购签到报名、递交响应文件开始时间：202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6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30</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（三）询价采购签到报名、递交响应文件截止时间：202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6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00</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（四）询价采购签到报名递交响应文件地点：重庆市梁平区疾病预防控制中心</w:t>
      </w:r>
      <w:r>
        <w:rPr>
          <w:rFonts w:hint="eastAsia" w:ascii="宋体" w:hAnsi="宋体" w:eastAsia="宋体" w:cs="宋体"/>
          <w:color w:val="auto"/>
          <w:sz w:val="24"/>
          <w:szCs w:val="24"/>
          <w:lang w:val="en-US" w:eastAsia="zh-CN"/>
        </w:rPr>
        <w:t>会议室</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（五）询价采购开始时间：202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6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00</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所有响应文件必须在响应文件截止时间之前递交到指定的响应文件递交地点，逾期不予接纳。</w:t>
      </w:r>
    </w:p>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五、所需费用（币种为人民币）</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（一）询价文件购买费（人民币现金）：0元/份。</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（二）询价保证金：人民币</w:t>
      </w:r>
      <w:r>
        <w:rPr>
          <w:rFonts w:hint="eastAsia" w:ascii="宋体" w:hAnsi="宋体" w:eastAsia="宋体" w:cs="宋体"/>
          <w:color w:val="auto"/>
          <w:sz w:val="24"/>
          <w:szCs w:val="24"/>
          <w:lang w:eastAsia="zh-CN"/>
        </w:rPr>
        <w:t>壹</w:t>
      </w:r>
      <w:r>
        <w:rPr>
          <w:rFonts w:hint="eastAsia" w:ascii="宋体" w:hAnsi="宋体" w:eastAsia="宋体" w:cs="宋体"/>
          <w:color w:val="auto"/>
          <w:sz w:val="24"/>
          <w:szCs w:val="24"/>
          <w:lang w:val="en-US" w:eastAsia="zh-CN"/>
        </w:rPr>
        <w:t>万伍仟元</w:t>
      </w:r>
      <w:r>
        <w:rPr>
          <w:rFonts w:hint="eastAsia" w:ascii="宋体" w:hAnsi="宋体" w:eastAsia="宋体" w:cs="宋体"/>
          <w:color w:val="auto"/>
          <w:sz w:val="24"/>
          <w:szCs w:val="24"/>
          <w:lang w:eastAsia="zh-CN"/>
        </w:rPr>
        <w:t>整</w:t>
      </w:r>
      <w:r>
        <w:rPr>
          <w:rFonts w:hint="eastAsia" w:ascii="宋体" w:hAnsi="宋体" w:eastAsia="宋体" w:cs="宋体"/>
          <w:color w:val="auto"/>
          <w:sz w:val="24"/>
          <w:szCs w:val="24"/>
        </w:rPr>
        <w:t>。</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1、银行存单</w:t>
      </w:r>
      <w:r>
        <w:rPr>
          <w:rFonts w:hint="eastAsia" w:ascii="宋体" w:hAnsi="宋体" w:eastAsia="宋体" w:cs="宋体"/>
          <w:color w:val="auto"/>
          <w:sz w:val="24"/>
          <w:szCs w:val="24"/>
          <w:lang w:val="en-US" w:eastAsia="zh-CN"/>
        </w:rPr>
        <w:t>形式缴纳</w:t>
      </w:r>
      <w:r>
        <w:rPr>
          <w:rFonts w:hint="eastAsia" w:ascii="宋体" w:hAnsi="宋体" w:eastAsia="宋体" w:cs="宋体"/>
          <w:color w:val="auto"/>
          <w:sz w:val="24"/>
          <w:szCs w:val="24"/>
        </w:rPr>
        <w:t>：以法定代表人或授权委托人名字，在下列任一家银行（中国工商银行、中国农业银行、中国银行、重庆市农村商业银行、重庆银行、中国邮政银行）开具短期存单，在递交响应文件时将存单原件同时递交。</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2、银行保函</w:t>
      </w:r>
      <w:r>
        <w:rPr>
          <w:rFonts w:hint="eastAsia" w:ascii="宋体" w:hAnsi="宋体" w:eastAsia="宋体" w:cs="宋体"/>
          <w:color w:val="auto"/>
          <w:sz w:val="24"/>
          <w:szCs w:val="24"/>
          <w:lang w:val="en-US" w:eastAsia="zh-CN"/>
        </w:rPr>
        <w:t>形式缴纳：</w:t>
      </w:r>
      <w:r>
        <w:rPr>
          <w:rFonts w:hint="eastAsia" w:ascii="宋体" w:hAnsi="宋体" w:eastAsia="宋体" w:cs="宋体"/>
          <w:color w:val="auto"/>
          <w:sz w:val="24"/>
          <w:szCs w:val="24"/>
        </w:rPr>
        <w:t>以供应商名称在下列任一家银行（中国工商银行、中国农业银行、中国银行、重庆市农村商业银行、重庆银行、中国邮政银行）开具银行保函，在递交响应文件时将银行保函原件同时递交。</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注：各位供应商任意选择以上一种模式缴纳足额的询价保证金。</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（三）缴纳方式及退付：询价保证金在重庆市梁平区疾病预防控制中心</w:t>
      </w:r>
      <w:r>
        <w:rPr>
          <w:rFonts w:hint="eastAsia" w:ascii="宋体" w:hAnsi="宋体" w:eastAsia="宋体" w:cs="宋体"/>
          <w:color w:val="auto"/>
          <w:sz w:val="24"/>
          <w:szCs w:val="24"/>
          <w:lang w:val="en-US" w:eastAsia="zh-CN"/>
        </w:rPr>
        <w:t>会议室</w:t>
      </w:r>
      <w:r>
        <w:rPr>
          <w:rFonts w:hint="eastAsia" w:ascii="宋体" w:hAnsi="宋体" w:eastAsia="宋体" w:cs="宋体"/>
          <w:color w:val="auto"/>
          <w:sz w:val="24"/>
          <w:szCs w:val="24"/>
        </w:rPr>
        <w:t>递交。采购代理机构在《成交通知书》发出后五个工作日内退还未成交供应商的询价保证金；未在规定时间内或未按规定方式缴纳相关费用的供应商，其响应行为无效。</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（四）发生下列情况之一的询价保证金不予退还：</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3、除因不可抗力或谈判文件、询价通知书认可的情形以外，成交供应商不与采购人签订合同的；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5、询价文件规定的其他情形。</w:t>
      </w:r>
    </w:p>
    <w:p>
      <w:pPr>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六、采购项目需落实的政府采购政策</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（二）按照&lt;财政部 工业和信息化部关于印发《政府采购促进中小企业发展管理办法》的通知&gt;（财库〔2020〕46号）的规定，落实促进中小企业发展政策。</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（三）按照《财政部、司法部关于政府采购支持监狱企业发展有关问题的通知》（财库〔2014〕68号）的规定，落实支持监狱企业发展政策。</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（四）按照《三部门联合发布关于促进残疾人就业政府采购政策的通知》（财库〔2017〕 141号）的规定，落实支持残疾人福利性单位发展政策。</w:t>
      </w:r>
    </w:p>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七、询价有关规定</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（一）单位负责人为同一人或者存在直接控股、管理关系的不同供应商，不得参加同一合同项（分包）下的政府采购活动。</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val="0"/>
        <w:spacing w:line="400" w:lineRule="exact"/>
        <w:ind w:firstLine="432" w:firstLineChars="200"/>
        <w:textAlignment w:val="auto"/>
        <w:rPr>
          <w:rFonts w:hint="eastAsia" w:ascii="宋体" w:hAnsi="宋体" w:eastAsia="宋体" w:cs="宋体"/>
          <w:color w:val="auto"/>
          <w:w w:val="90"/>
          <w:kern w:val="21"/>
          <w:sz w:val="24"/>
          <w:szCs w:val="24"/>
        </w:rPr>
      </w:pPr>
      <w:r>
        <w:rPr>
          <w:rFonts w:hint="eastAsia" w:ascii="宋体" w:hAnsi="宋体" w:eastAsia="宋体" w:cs="宋体"/>
          <w:color w:val="auto"/>
          <w:w w:val="90"/>
          <w:kern w:val="21"/>
          <w:sz w:val="24"/>
          <w:szCs w:val="24"/>
        </w:rPr>
        <w:t>（三）</w:t>
      </w:r>
      <w:r>
        <w:rPr>
          <w:rFonts w:hint="eastAsia" w:ascii="宋体" w:hAnsi="宋体" w:eastAsia="宋体" w:cs="宋体"/>
          <w:color w:val="auto"/>
          <w:kern w:val="21"/>
          <w:sz w:val="24"/>
          <w:szCs w:val="24"/>
        </w:rPr>
        <w:t>本项目若有补遗文件一律在“重庆市梁平区卫生健康委员会（http://www.cqlp.gov.cn/wsjkw/）或</w:t>
      </w:r>
      <w:r>
        <w:rPr>
          <w:rFonts w:hint="eastAsia" w:ascii="宋体" w:hAnsi="宋体" w:eastAsia="宋体" w:cs="宋体"/>
          <w:color w:val="auto"/>
          <w:kern w:val="21"/>
          <w:sz w:val="24"/>
          <w:szCs w:val="24"/>
          <w:lang w:eastAsia="zh-CN"/>
        </w:rPr>
        <w:t>在</w:t>
      </w:r>
      <w:r>
        <w:rPr>
          <w:rFonts w:hint="eastAsia" w:ascii="宋体" w:hAnsi="宋体" w:eastAsia="宋体" w:cs="宋体"/>
          <w:color w:val="auto"/>
          <w:kern w:val="21"/>
          <w:sz w:val="24"/>
          <w:szCs w:val="24"/>
        </w:rPr>
        <w:t>重庆市梁平区疾病预防控制中心张贴栏上</w:t>
      </w:r>
      <w:r>
        <w:rPr>
          <w:rFonts w:hint="eastAsia" w:ascii="宋体" w:hAnsi="宋体" w:eastAsia="宋体" w:cs="宋体"/>
          <w:color w:val="auto"/>
          <w:kern w:val="21"/>
          <w:sz w:val="24"/>
          <w:szCs w:val="24"/>
          <w:lang w:eastAsia="zh-CN"/>
        </w:rPr>
        <w:t>”</w:t>
      </w:r>
      <w:r>
        <w:rPr>
          <w:rFonts w:hint="eastAsia" w:ascii="宋体" w:hAnsi="宋体" w:eastAsia="宋体" w:cs="宋体"/>
          <w:color w:val="auto"/>
          <w:kern w:val="21"/>
          <w:sz w:val="24"/>
          <w:szCs w:val="24"/>
        </w:rPr>
        <w:t>发布，请各供应商注意下载；无论供应商下载与否，均视同供应商已知晓本项目补遗文件的内容。</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（四）超过响应文件递交截止时间递交的响应文件，恕不接收。</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（五）参与项目的费用：无论询价结果如何，供应商参与本项目的所有费用均应由供应商自行承担。</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（六）本项目不接受联合体参与响应。</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w:t>
      </w:r>
      <w:bookmarkStart w:id="7" w:name="OLE_LINK1"/>
      <w:r>
        <w:rPr>
          <w:rFonts w:hint="eastAsia" w:ascii="宋体" w:hAnsi="宋体" w:eastAsia="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7"/>
      <w:r>
        <w:rPr>
          <w:rFonts w:hint="eastAsia" w:ascii="宋体" w:hAnsi="宋体" w:eastAsia="宋体" w:cs="宋体"/>
          <w:color w:val="auto"/>
          <w:sz w:val="24"/>
          <w:szCs w:val="24"/>
        </w:rPr>
        <w:t>供应商，将拒绝其参与政府采购活动。</w:t>
      </w:r>
    </w:p>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八、联系方式</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（一）采购人：重庆市梁平区疾病预防控制中心 </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 陈明福</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话：18323532833</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址：重庆市梁平区梁山街道双桂路241号</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（二）采购代理机构：重庆睿洺工程咨询有限公司</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联系人：熊岭</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话：17300245660</w:t>
      </w:r>
    </w:p>
    <w:p>
      <w:pPr>
        <w:pageBreakBefore w:val="0"/>
        <w:widowControl w:val="0"/>
        <w:tabs>
          <w:tab w:val="left" w:pos="3360"/>
        </w:tabs>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址：重庆市两江新区仁安里1栋</w:t>
      </w:r>
    </w:p>
    <w:p>
      <w:pPr>
        <w:pStyle w:val="27"/>
        <w:rPr>
          <w:rFonts w:hint="eastAsia"/>
          <w:color w:val="auto"/>
        </w:rPr>
      </w:pPr>
    </w:p>
    <w:p>
      <w:pPr>
        <w:widowControl/>
        <w:numPr>
          <w:ilvl w:val="0"/>
          <w:numId w:val="2"/>
        </w:numPr>
        <w:snapToGrid w:val="0"/>
        <w:spacing w:line="360" w:lineRule="auto"/>
        <w:jc w:val="center"/>
        <w:outlineLvl w:val="0"/>
        <w:rPr>
          <w:rFonts w:hint="eastAsia" w:ascii="宋体" w:hAnsi="宋体" w:cs="宋体"/>
          <w:b/>
          <w:color w:val="auto"/>
          <w:sz w:val="44"/>
        </w:rPr>
      </w:pPr>
      <w:r>
        <w:rPr>
          <w:rFonts w:hint="eastAsia" w:ascii="宋体" w:hAnsi="宋体" w:cs="宋体"/>
          <w:color w:val="auto"/>
        </w:rPr>
        <w:br w:type="page"/>
      </w:r>
      <w:r>
        <w:rPr>
          <w:rFonts w:hint="eastAsia" w:ascii="宋体" w:hAnsi="宋体" w:cs="宋体"/>
          <w:b/>
          <w:color w:val="auto"/>
          <w:sz w:val="44"/>
        </w:rPr>
        <w:t xml:space="preserve">  </w:t>
      </w:r>
      <w:bookmarkStart w:id="8" w:name="_Toc4263"/>
      <w:r>
        <w:rPr>
          <w:rFonts w:hint="eastAsia" w:ascii="宋体" w:hAnsi="宋体" w:cs="宋体"/>
          <w:b/>
          <w:color w:val="auto"/>
          <w:sz w:val="44"/>
        </w:rPr>
        <w:t>询价采购项目技术需求</w:t>
      </w:r>
      <w:bookmarkEnd w:id="8"/>
    </w:p>
    <w:p>
      <w:pPr>
        <w:pStyle w:val="4"/>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color w:val="auto"/>
          <w:sz w:val="24"/>
        </w:rPr>
      </w:pPr>
      <w:bookmarkStart w:id="9" w:name="_Toc75793505"/>
      <w:bookmarkStart w:id="10" w:name="_Toc399488556"/>
      <w:r>
        <w:rPr>
          <w:rFonts w:hint="eastAsia" w:ascii="宋体" w:hAnsi="宋体" w:eastAsia="宋体" w:cs="宋体"/>
          <w:color w:val="auto"/>
          <w:sz w:val="24"/>
        </w:rPr>
        <w:t>询价项目一览表</w:t>
      </w:r>
      <w:bookmarkEnd w:id="9"/>
      <w:bookmarkStart w:id="11" w:name="_Toc75793506"/>
    </w:p>
    <w:tbl>
      <w:tblPr>
        <w:tblStyle w:val="6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7"/>
        <w:gridCol w:w="4151"/>
        <w:gridCol w:w="2155"/>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0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序号</w:t>
            </w:r>
          </w:p>
        </w:tc>
        <w:tc>
          <w:tcPr>
            <w:tcW w:w="41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装备名称</w:t>
            </w:r>
          </w:p>
        </w:tc>
        <w:tc>
          <w:tcPr>
            <w:tcW w:w="2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数量/单位</w:t>
            </w:r>
          </w:p>
        </w:tc>
        <w:tc>
          <w:tcPr>
            <w:tcW w:w="1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178" w:type="dxa"/>
            <w:gridSpan w:val="4"/>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（一）个人携行装备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p>
        </w:tc>
        <w:tc>
          <w:tcPr>
            <w:tcW w:w="41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卫生应急冬装（含内胆冲锋衣、冲锋裤、全套胸牌臂章等标识）</w:t>
            </w:r>
          </w:p>
        </w:tc>
        <w:tc>
          <w:tcPr>
            <w:tcW w:w="2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70件</w:t>
            </w:r>
          </w:p>
        </w:tc>
        <w:tc>
          <w:tcPr>
            <w:tcW w:w="1805"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鞋服衣帽根据采购人提供的尺寸进行供货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夏裤</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70条</w:t>
            </w:r>
          </w:p>
        </w:tc>
        <w:tc>
          <w:tcPr>
            <w:tcW w:w="1805"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长袖衬衣</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70件</w:t>
            </w:r>
          </w:p>
        </w:tc>
        <w:tc>
          <w:tcPr>
            <w:tcW w:w="1805"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4</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短袖衬衣</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70件</w:t>
            </w:r>
          </w:p>
        </w:tc>
        <w:tc>
          <w:tcPr>
            <w:tcW w:w="1805"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5</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马甲</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70件</w:t>
            </w:r>
          </w:p>
        </w:tc>
        <w:tc>
          <w:tcPr>
            <w:tcW w:w="1805"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6</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帽子</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70个</w:t>
            </w:r>
          </w:p>
        </w:tc>
        <w:tc>
          <w:tcPr>
            <w:tcW w:w="1805"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速干圆领T恤、速干运动裤套装（长袖、短袖）</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firstLine="220" w:firstLineChars="10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70套</w:t>
            </w:r>
          </w:p>
        </w:tc>
        <w:tc>
          <w:tcPr>
            <w:tcW w:w="1805"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8</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T恤（长袖、短袖）</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70件</w:t>
            </w:r>
          </w:p>
        </w:tc>
        <w:tc>
          <w:tcPr>
            <w:tcW w:w="1805"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9</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秋冬靴</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70双</w:t>
            </w:r>
          </w:p>
        </w:tc>
        <w:tc>
          <w:tcPr>
            <w:tcW w:w="1805"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10</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春夏鞋</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20双</w:t>
            </w:r>
          </w:p>
        </w:tc>
        <w:tc>
          <w:tcPr>
            <w:tcW w:w="1805"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FF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11</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应急背囊</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20个</w:t>
            </w:r>
          </w:p>
        </w:tc>
        <w:tc>
          <w:tcPr>
            <w:tcW w:w="1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FF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12</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强光手电筒</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20个</w:t>
            </w:r>
          </w:p>
        </w:tc>
        <w:tc>
          <w:tcPr>
            <w:tcW w:w="1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FF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13</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洗漱包</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20个</w:t>
            </w:r>
          </w:p>
        </w:tc>
        <w:tc>
          <w:tcPr>
            <w:tcW w:w="1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FF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14</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拉杆箱</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20个</w:t>
            </w:r>
          </w:p>
        </w:tc>
        <w:tc>
          <w:tcPr>
            <w:tcW w:w="1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178" w:type="dxa"/>
            <w:gridSpan w:val="4"/>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（二）流调装备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流调手机</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55个</w:t>
            </w:r>
          </w:p>
        </w:tc>
        <w:tc>
          <w:tcPr>
            <w:tcW w:w="1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FF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便携式打印机（能无线连接）</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15台</w:t>
            </w:r>
          </w:p>
        </w:tc>
        <w:tc>
          <w:tcPr>
            <w:tcW w:w="1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FF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影像记录仪</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30台</w:t>
            </w:r>
          </w:p>
        </w:tc>
        <w:tc>
          <w:tcPr>
            <w:tcW w:w="1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FF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4</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移动无线硬盘2TB</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30个</w:t>
            </w:r>
          </w:p>
        </w:tc>
        <w:tc>
          <w:tcPr>
            <w:tcW w:w="1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FF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5</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智能录音笔（可转化文字）</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45只</w:t>
            </w:r>
          </w:p>
        </w:tc>
        <w:tc>
          <w:tcPr>
            <w:tcW w:w="1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FF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6</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充电宝</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55个</w:t>
            </w:r>
          </w:p>
        </w:tc>
        <w:tc>
          <w:tcPr>
            <w:tcW w:w="1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6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w:t>
            </w:r>
          </w:p>
        </w:tc>
        <w:tc>
          <w:tcPr>
            <w:tcW w:w="41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投影仪</w:t>
            </w:r>
          </w:p>
        </w:tc>
        <w:tc>
          <w:tcPr>
            <w:tcW w:w="215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15台</w:t>
            </w:r>
          </w:p>
        </w:tc>
        <w:tc>
          <w:tcPr>
            <w:tcW w:w="1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auto"/>
                <w:kern w:val="0"/>
                <w:sz w:val="22"/>
                <w:szCs w:val="22"/>
                <w:lang w:val="en-US" w:eastAsia="zh-CN"/>
              </w:rPr>
            </w:pPr>
          </w:p>
        </w:tc>
      </w:tr>
    </w:tbl>
    <w:p>
      <w:pPr>
        <w:keepNext w:val="0"/>
        <w:keepLines w:val="0"/>
        <w:pageBreakBefore w:val="0"/>
        <w:numPr>
          <w:ilvl w:val="0"/>
          <w:numId w:val="0"/>
        </w:numPr>
        <w:kinsoku/>
        <w:wordWrap/>
        <w:overflowPunct/>
        <w:topLinePunct w:val="0"/>
        <w:autoSpaceDE/>
        <w:autoSpaceDN/>
        <w:bidi w:val="0"/>
        <w:adjustRightInd/>
        <w:spacing w:line="240" w:lineRule="exact"/>
        <w:textAlignment w:val="auto"/>
      </w:pPr>
    </w:p>
    <w:bookmarkEnd w:id="11"/>
    <w:p>
      <w:pPr>
        <w:pStyle w:val="4"/>
        <w:keepNext w:val="0"/>
        <w:keepLines w:val="0"/>
        <w:pageBreakBefore w:val="0"/>
        <w:numPr>
          <w:ilvl w:val="0"/>
          <w:numId w:val="4"/>
        </w:numPr>
        <w:kinsoku/>
        <w:wordWrap/>
        <w:overflowPunct/>
        <w:topLinePunct w:val="0"/>
        <w:autoSpaceDE/>
        <w:autoSpaceDN/>
        <w:bidi w:val="0"/>
        <w:adjustRightInd/>
        <w:snapToGrid/>
        <w:spacing w:line="300" w:lineRule="exact"/>
        <w:ind w:left="0" w:leftChars="0" w:right="0" w:rightChars="0"/>
        <w:jc w:val="left"/>
        <w:textAlignment w:val="auto"/>
        <w:rPr>
          <w:rFonts w:hint="eastAsia" w:ascii="宋体" w:hAnsi="宋体" w:eastAsia="宋体" w:cs="宋体"/>
          <w:color w:val="auto"/>
          <w:sz w:val="24"/>
        </w:rPr>
      </w:pPr>
      <w:r>
        <w:rPr>
          <w:rFonts w:hint="eastAsia" w:ascii="宋体" w:hAnsi="宋体" w:eastAsia="宋体" w:cs="宋体"/>
          <w:color w:val="auto"/>
          <w:sz w:val="24"/>
        </w:rPr>
        <w:t>询价项目技术要求</w:t>
      </w:r>
    </w:p>
    <w:p>
      <w:pPr>
        <w:pStyle w:val="2"/>
        <w:keepNext w:val="0"/>
        <w:keepLines w:val="0"/>
        <w:pageBreakBefore w:val="0"/>
        <w:kinsoku/>
        <w:wordWrap/>
        <w:overflowPunct/>
        <w:topLinePunct w:val="0"/>
        <w:autoSpaceDE/>
        <w:autoSpaceDN/>
        <w:bidi w:val="0"/>
        <w:adjustRightInd/>
        <w:spacing w:line="300" w:lineRule="exact"/>
        <w:ind w:firstLine="361" w:firstLineChars="15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个人携行装备</w:t>
      </w:r>
      <w:r>
        <w:rPr>
          <w:rFonts w:hint="eastAsia" w:ascii="宋体" w:hAnsi="宋体" w:eastAsia="宋体" w:cs="宋体"/>
          <w:b/>
          <w:bCs/>
          <w:sz w:val="24"/>
          <w:szCs w:val="24"/>
        </w:rPr>
        <w:t>：</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名称</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技术及质量要求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9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冲锋衣上衣</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设计符合《国家卫生应急队伍标识》、《中国卫生应急服装技术规范（试行）》、“中国卫生应急男、女式冬装/春秋装上衣技术规范”要求。</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面料</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 颜色：哈弗红/深藏青色</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 材质：100%塔丝龙牛津布，表面防水处理，背面复合乳白色防水透湿TPU膜。耐静水压≥50kPa/min。透湿量≥5000g/(㎡·d)。</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里料</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 用途：内里下身、帽子里、袖子里、内袋布、两边胸袋布；</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 材质：210T单面涂覆涤丝绸(蓝色)，100% 涤纶长丝绸，背单面喷涂聚甲基丙烯酸酯。克重65gm/㎡。</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网眼布里料</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 颜色：蓝色</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 用途：内里上身</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 材质：100% 消光长丝、涤丝网眼布。克重55gm/㎡。</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尼龙防水拉链：5#，用于前中、两边胸带、夹底、前下大袋</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 </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尼龙拉链：5#，前下直插袋；3#，内袋、背袋、脱卸帽子。</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 </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注塑拉链：5#，前中内扣内衣</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 </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反光条：前胸、后背；视觉丽 8710型4cm宽热转移反光膜</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后背反光标志牌</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9.1热转移反光材料：视觉丽 8710型热转移反光膜</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9.2 数量：2块（另附“重庆卫生”1块） </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000000"/>
                <w:kern w:val="0"/>
                <w:sz w:val="24"/>
                <w:szCs w:val="24"/>
              </w:rPr>
              <w:t>9.3 式样：可拆卸、隐藏式，并可替换，样式须符合卫生系统统一标示系统</w:t>
            </w:r>
            <w:r>
              <w:rPr>
                <w:rFonts w:hint="eastAsia" w:ascii="宋体" w:hAnsi="宋体" w:eastAsia="宋体" w:cs="宋体"/>
                <w:color w:val="auto"/>
                <w:kern w:val="0"/>
                <w:sz w:val="24"/>
                <w:szCs w:val="24"/>
              </w:rPr>
              <w:t>的要求</w:t>
            </w:r>
            <w:r>
              <w:rPr>
                <w:rFonts w:hint="eastAsia" w:ascii="宋体" w:hAnsi="宋体" w:eastAsia="宋体" w:cs="宋体"/>
                <w:color w:val="auto"/>
                <w:kern w:val="0"/>
                <w:sz w:val="24"/>
                <w:szCs w:val="24"/>
                <w:lang w:eastAsia="zh-CN"/>
              </w:rPr>
              <w:t>。</w:t>
            </w:r>
          </w:p>
          <w:p>
            <w:pPr>
              <w:pStyle w:val="2"/>
              <w:rPr>
                <w:rFonts w:hint="eastAsia" w:ascii="宋体" w:hAnsi="宋体" w:eastAsia="宋体" w:cs="宋体"/>
                <w:sz w:val="24"/>
                <w:szCs w:val="24"/>
              </w:rPr>
            </w:pPr>
            <w:r>
              <w:rPr>
                <w:rFonts w:hint="eastAsia" w:ascii="宋体" w:hAnsi="宋体" w:eastAsia="宋体" w:cs="宋体"/>
                <w:b w:val="0"/>
                <w:bCs w:val="0"/>
                <w:color w:val="auto"/>
                <w:kern w:val="0"/>
                <w:sz w:val="24"/>
                <w:szCs w:val="24"/>
                <w:lang w:val="en-US" w:eastAsia="zh-CN" w:bidi="ar-SA"/>
              </w:rPr>
              <w:t>10.提供第三方检测机构出具的有效的检测报告复印件并加盖供应商鲜章，检测内容包含但不限于上述1-9的条款内容，报告上须具有CMA、CNAS的标识。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4" w:hRule="atLeast"/>
          <w:jc w:val="center"/>
        </w:trPr>
        <w:tc>
          <w:tcPr>
            <w:tcW w:w="129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冲锋裤</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设计符合《国家卫生应急队伍标识》、《中国卫生应急服装技术规范（试行）》、“中国卫生应急男、女式冬装/春秋装上衣技术规范”要求。</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面料</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 颜色：深藏青色</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 材质：100%塔丝龙牛津布，表面防水处理，背面复合乳白色防水透湿TPU膜。耐静水压≥50kPa/min。透湿量≥5000g/(㎡·d)。</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里料</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 材质：210T单面涂覆涤丝绸(深藏青色)，100% 涤纶长丝绸，背单面喷涂聚甲基丙烯酸酯。</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 网眼布里料</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 颜色：藏青色</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 材质：100% 消光长丝、涤丝网眼布。克重55gm/㎡。</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 缝纫线：</w:t>
            </w:r>
            <w:r>
              <w:rPr>
                <w:rFonts w:hint="eastAsia" w:ascii="宋体" w:hAnsi="宋体" w:eastAsia="宋体" w:cs="宋体"/>
                <w:color w:val="auto"/>
                <w:sz w:val="24"/>
                <w:szCs w:val="24"/>
              </w:rPr>
              <w:t>100%涤纶</w:t>
            </w:r>
            <w:r>
              <w:rPr>
                <w:rFonts w:hint="eastAsia" w:ascii="宋体" w:hAnsi="宋体" w:eastAsia="宋体" w:cs="宋体"/>
                <w:color w:val="auto"/>
                <w:kern w:val="0"/>
                <w:sz w:val="24"/>
                <w:szCs w:val="24"/>
              </w:rPr>
              <w:t>11.8tex X 3</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 尼龙拉链：5#，前中侧袋。</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 粘扣带：裤脚口搭扣带，2cm宽。</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 松紧带：腰头两侧，4cm宽</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锦纶横纹织带：大袋盖，2.5cm宽</w:t>
            </w:r>
          </w:p>
          <w:p>
            <w:pPr>
              <w:pStyle w:val="2"/>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10</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 金属扣：腰头，牛仔纽</w:t>
            </w:r>
            <w:r>
              <w:rPr>
                <w:rFonts w:hint="eastAsia" w:ascii="宋体" w:hAnsi="宋体" w:eastAsia="宋体" w:cs="宋体"/>
                <w:color w:val="auto"/>
                <w:sz w:val="24"/>
                <w:szCs w:val="24"/>
              </w:rPr>
              <w:t>￠17mm</w:t>
            </w:r>
          </w:p>
          <w:p>
            <w:pPr>
              <w:pStyle w:val="2"/>
              <w:rPr>
                <w:rFonts w:hint="eastAsia" w:ascii="宋体" w:hAnsi="宋体" w:eastAsia="宋体" w:cs="宋体"/>
                <w:color w:val="auto"/>
                <w:sz w:val="24"/>
                <w:szCs w:val="24"/>
                <w:shd w:val="clear" w:color="FFFFFF" w:fill="D9D9D9"/>
              </w:rPr>
            </w:pPr>
            <w:r>
              <w:rPr>
                <w:rFonts w:hint="eastAsia" w:ascii="宋体" w:hAnsi="宋体" w:eastAsia="宋体" w:cs="宋体"/>
                <w:b w:val="0"/>
                <w:bCs w:val="0"/>
                <w:color w:val="auto"/>
                <w:kern w:val="0"/>
                <w:sz w:val="24"/>
                <w:szCs w:val="24"/>
                <w:lang w:val="en-US" w:eastAsia="zh-CN" w:bidi="ar-SA"/>
              </w:rPr>
              <w:t>11.提供第三方检测机构出具的有效的检测报告复印件并加盖供应商鲜章，检测内容包含但不限于上述1-10的条款内容，报告上须具有CMA、CNAS的标识。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抓绒内胆</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抓绒内胆为冲锋衣上衣的配套内胆，可与冲锋衣上衣组合穿着。抓绒内胆可以拆卸，并可单独穿着。抓绒内胆为275g/㎡，可以抵御-10度以上的严寒。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jc w:val="center"/>
        </w:trPr>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抓绒冲锋裤内胆</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样式</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抓绒冲锋裤内胆可与冲锋裤组合穿着，也可单独外穿。裤子双侧带斜插式口袋，贴身中腰设计。</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材质</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2.1采用Polartec Micro系列抓绒面料，成分为100%聚酯纤维，轻盈保暖。</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 面料具有高透气性、抗起球、快速干燥特性。</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吊牌和标签</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3.1产品吊牌中应包含Polartec® Micro系列抓绒面料专用吊牌。</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 裤子外层缝制有印制Polartec®标识的小标签。</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 xml:space="preserve"> 颜色</w:t>
            </w:r>
          </w:p>
          <w:p>
            <w:pPr>
              <w:pStyle w:val="2"/>
              <w:rPr>
                <w:rFonts w:hint="eastAsia" w:ascii="宋体" w:hAnsi="宋体" w:eastAsia="宋体" w:cs="宋体"/>
                <w:sz w:val="24"/>
                <w:szCs w:val="24"/>
              </w:rPr>
            </w:pPr>
            <w:r>
              <w:rPr>
                <w:rFonts w:hint="eastAsia" w:ascii="宋体" w:hAnsi="宋体" w:eastAsia="宋体" w:cs="宋体"/>
                <w:color w:val="000000"/>
                <w:kern w:val="0"/>
                <w:sz w:val="24"/>
                <w:szCs w:val="24"/>
              </w:rPr>
              <w:t>抓</w:t>
            </w:r>
            <w:r>
              <w:rPr>
                <w:rFonts w:hint="eastAsia" w:ascii="宋体" w:hAnsi="宋体" w:eastAsia="宋体" w:cs="宋体"/>
                <w:color w:val="auto"/>
                <w:kern w:val="0"/>
                <w:sz w:val="24"/>
                <w:szCs w:val="24"/>
              </w:rPr>
              <w:t>绒裤颜色为黑色。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atLeast"/>
          <w:jc w:val="center"/>
        </w:trPr>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卫生应急制服马甲</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1.设计符合《国家卫生应急队伍标识》、《中国卫生应急服装技术规范（试行）》、“中国卫生应急男、女式冬装/春秋装上衣技术规范”要求。</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2.面料</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 颜色：哈弗红/深藏青色</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 材质：100%塔丝龙牛津布，表面防水处理，背面复合乳白色防水透湿TPU膜。耐静水压≥50kPa/min。透湿量≥5000g/(㎡·d)。</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3.里料</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 用途：全件内里及上下袋；</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 材质：100% 涤纶长丝绸，背单面喷涂聚甲基丙烯酸酯。克重65gm/㎡。</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4.缝纫线：全件缝制，100%涤纶11.8tex X 3</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5.尼龙拉链：5#，背口袋。</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6.注塑拉链：8#，前中</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7.注塑扣：侧开活动，2.5cm内圈</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8.反光条：前下袋盖、后袋、前后肩、视觉丽 8710型5.08cm宽热转移反光膜</w:t>
            </w:r>
          </w:p>
          <w:p>
            <w:pPr>
              <w:keepNext w:val="0"/>
              <w:keepLines w:val="0"/>
              <w:pageBreakBefore w:val="0"/>
              <w:kinsoku/>
              <w:wordWrap/>
              <w:overflowPunct/>
              <w:topLinePunct w:val="0"/>
              <w:autoSpaceDE/>
              <w:autoSpaceDN/>
              <w:bidi w:val="0"/>
              <w:adjustRightInd/>
              <w:spacing w:line="300" w:lineRule="exact"/>
              <w:jc w:val="left"/>
              <w:textAlignment w:val="auto"/>
              <w:rPr>
                <w:rFonts w:hint="eastAsia"/>
                <w:lang w:eastAsia="zh-CN"/>
              </w:rPr>
            </w:pPr>
            <w:r>
              <w:rPr>
                <w:rFonts w:hint="eastAsia" w:ascii="宋体" w:hAnsi="宋体" w:eastAsia="宋体" w:cs="宋体"/>
                <w:color w:val="auto"/>
                <w:kern w:val="0"/>
                <w:sz w:val="24"/>
                <w:szCs w:val="24"/>
                <w:lang w:val="en-US" w:eastAsia="zh-CN"/>
              </w:rPr>
              <w:t>9.热转移反光材料：视觉丽 8710型热转移反光膜。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中国卫生应急背囊</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背囊主体：</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防水、防潮设计。</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包体材料</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2.1主面料采用高品质600D以上高强牛津防水面料（大红色），撕裂牢度强、强防水性能（优力胶4000mm以上防水涂层），强耐磨；</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2.2里料采用210T涤塔夫面料，质量轻；PU1000mm以上防水涂层；面料和里料之间内衬EVA，强化包内的耐压、耐震效果，且不易变形。</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 高强缝纫线，精细缝制、坚固耐用</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 包体反光条（荧光绿底布+银色热转移反光膜）环绕设计，具有多重反光面；</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 阻燃材料采用0-10秒迅速阻燃材料；</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 包体材料具有防水漂浮功能；</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 包体材料强度可满足空投需求；</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 包体上印制的标识标志应防水、抗紫外线、不易变色、不易脱落。</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结构组成</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3.1主包体+三个（双侧各一个，外侧下部一个）可独立使用的外挂包；包内分隔设计符合人体工程学和排汗透气需求，适合长时间背负使用</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3.2主包体主要由包体、内兜、侧面兜、加强肩带、提把、腰部调节扣、塑料扣具等组成，携带方便、轻便、实用。</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 包顶部手提设计牢固结实，便于携带，手感舒适；</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3.4肩带部位加固、耐用，背带通过扣件固定，背带长度用三道梁调节，可根据需求调整适合自己的背负状态。</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 腰部调节设计，最大程度减轻背负压力，有效减缓背负重物压力。</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 包内分隔结实稳固，内部规划有序，归类整理方便。</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3.7 包体外侧面印有“中国卫生”标识，印制材料耐洗、耐紫外线、不易脱落。</w:t>
            </w:r>
          </w:p>
          <w:p>
            <w:pPr>
              <w:pStyle w:val="2"/>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容量：能装下一套野外生存装备及一套卫生应急冬季服装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卫生应急便装短袖T恤</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采用排汗、透气、快干、防臭功能性面料制作，贴身穿着舒适，不易起皱和变形。</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圆领，款式严肃大方。</w:t>
            </w:r>
          </w:p>
          <w:p>
            <w:pPr>
              <w:keepNext w:val="0"/>
              <w:keepLines w:val="0"/>
              <w:pageBreakBefore w:val="0"/>
              <w:kinsoku/>
              <w:wordWrap/>
              <w:overflowPunct/>
              <w:topLinePunct w:val="0"/>
              <w:autoSpaceDE/>
              <w:autoSpaceDN/>
              <w:bidi w:val="0"/>
              <w:adjustRightInd/>
              <w:spacing w:line="300" w:lineRule="exact"/>
              <w:jc w:val="left"/>
              <w:textAlignment w:val="auto"/>
              <w:rPr>
                <w:rFonts w:hint="eastAsia"/>
                <w:color w:val="auto"/>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颜色为单一浅色，无明显的花纹、印花或线条。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卫生应急便鞋</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 xml:space="preserve">样式：软橡胶底防滑设计，减震好，穿脱方便，长距离步行舒适， </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材质：外层为全头层牛皮</w:t>
            </w:r>
          </w:p>
          <w:p>
            <w:pPr>
              <w:pStyle w:val="2"/>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内层和鞋垫为猪皮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jc w:val="center"/>
        </w:trPr>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急救春秋装长裤</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设计符合《国家卫生应急队伍标识》、《中国卫生应急服装技术规范（试行）》、“中国卫生应急男、女式冬装/春秋装上衣技术规范”要求。</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面料</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 精梳棉与锦纶混纺，棉/锦纶：60/40，克重：160-165g/㎡</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 颜色：深藏青色</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口袋布：本白色，内里下身、内袋布等，棉精梳涤棉混纺平纹布。</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无纺布衬：本白色，腰头，袋盖，1025#</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缝纫线：全件缝制；100%涤纶</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尼龙拉链：前中5#</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粘扣带：裤脚口搭扣带、大袋口、小袋口，2cm宽</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松紧带：腰头两侧，4cm宽</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锦纶横纹织带：大袋盖，2.5cm宽</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金属纽：腰头，（牛仔纽）</w:t>
            </w:r>
            <w:r>
              <w:rPr>
                <w:rFonts w:hint="eastAsia" w:ascii="宋体" w:hAnsi="宋体" w:eastAsia="宋体" w:cs="宋体"/>
                <w:color w:val="auto"/>
                <w:sz w:val="24"/>
                <w:szCs w:val="24"/>
              </w:rPr>
              <w:t>￠17mm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卫生应急作战靴</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设计符合《国家卫生应急队伍标识》、《中国卫生应急服装技术规范（试行）》、“中国卫生应急男、女式冬装/春秋装上衣技术规范”要求。</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材质：主体为优质头层牛皮，脚踝和鞋舌为牛津布</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颜色：黑色</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w:t>
            </w:r>
            <w:r>
              <w:rPr>
                <w:rFonts w:hint="eastAsia" w:ascii="宋体" w:hAnsi="宋体" w:eastAsia="宋体" w:cs="宋体"/>
                <w:color w:val="auto"/>
                <w:kern w:val="0"/>
                <w:sz w:val="24"/>
                <w:szCs w:val="24"/>
              </w:rPr>
              <w:t>高帮设计；耐磨橡胶大底、防滑设计；防刺穿处理，防撞前趾保护，鞋后跟加固处理。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val="0"/>
                <w:bCs w:val="0"/>
                <w:color w:val="000000"/>
                <w:sz w:val="24"/>
                <w:szCs w:val="24"/>
                <w:lang w:val="en-US" w:eastAsia="zh-CN"/>
              </w:rPr>
              <w:t>手电筒</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i w:val="0"/>
                <w:iCs w:val="0"/>
                <w:caps w:val="0"/>
                <w:color w:val="000000"/>
                <w:spacing w:val="0"/>
                <w:sz w:val="24"/>
                <w:szCs w:val="24"/>
                <w:shd w:val="clear" w:color="auto" w:fill="FFFFFF"/>
              </w:rPr>
              <w:t>可充电</w:t>
            </w:r>
            <w:r>
              <w:rPr>
                <w:rFonts w:hint="eastAsia" w:ascii="宋体" w:hAnsi="宋体" w:eastAsia="宋体" w:cs="宋体"/>
                <w:i w:val="0"/>
                <w:iCs w:val="0"/>
                <w:caps w:val="0"/>
                <w:color w:val="000000"/>
                <w:spacing w:val="0"/>
                <w:sz w:val="24"/>
                <w:szCs w:val="24"/>
                <w:shd w:val="clear" w:color="auto" w:fill="FFFFFF"/>
                <w:lang w:eastAsia="zh-CN"/>
              </w:rPr>
              <w:t>，续航时间不少于</w:t>
            </w:r>
            <w:r>
              <w:rPr>
                <w:rFonts w:hint="eastAsia" w:ascii="宋体" w:hAnsi="宋体" w:eastAsia="宋体" w:cs="宋体"/>
                <w:i w:val="0"/>
                <w:iCs w:val="0"/>
                <w:caps w:val="0"/>
                <w:color w:val="000000"/>
                <w:spacing w:val="0"/>
                <w:sz w:val="24"/>
                <w:szCs w:val="24"/>
                <w:shd w:val="clear" w:color="auto" w:fill="FFFFFF"/>
                <w:lang w:val="en-US" w:eastAsia="zh-CN"/>
              </w:rPr>
              <w:t>5小时。</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b w:val="0"/>
          <w:bCs w:val="0"/>
          <w:color w:val="000000"/>
          <w:sz w:val="24"/>
          <w:szCs w:val="24"/>
          <w:lang w:val="en-US" w:eastAsia="zh-CN"/>
        </w:rPr>
      </w:pPr>
    </w:p>
    <w:p>
      <w:pPr>
        <w:pStyle w:val="2"/>
        <w:keepNext w:val="0"/>
        <w:keepLines w:val="0"/>
        <w:pageBreakBefore w:val="0"/>
        <w:kinsoku/>
        <w:wordWrap/>
        <w:overflowPunct/>
        <w:topLinePunct w:val="0"/>
        <w:autoSpaceDE/>
        <w:autoSpaceDN/>
        <w:bidi w:val="0"/>
        <w:adjustRightInd/>
        <w:spacing w:line="300" w:lineRule="exact"/>
        <w:ind w:firstLine="361" w:firstLineChars="15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流调装备</w:t>
      </w:r>
      <w:r>
        <w:rPr>
          <w:rFonts w:hint="eastAsia" w:ascii="宋体" w:hAnsi="宋体" w:eastAsia="宋体" w:cs="宋体"/>
          <w:b/>
          <w:bCs/>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b w:val="0"/>
          <w:bCs w:val="0"/>
          <w:color w:val="000000"/>
          <w:sz w:val="24"/>
          <w:szCs w:val="24"/>
          <w:lang w:val="en-US" w:eastAsia="zh-CN"/>
        </w:rPr>
      </w:pP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名称</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技术及质量要求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8"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lang w:eastAsia="zh-CN"/>
              </w:rPr>
              <w:t>投影仪</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变焦倍数1.2倍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色彩数目10.7亿色</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灯泡寿命10000(不含)-12000(含)小时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标称对比度15000：1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操作系统无操作系统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灯泡功率225W</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光学分辨率1280x800dpi</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梯形校正范围±30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是否可吊装</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rPr>
              <w:t>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缩放比1.2：1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梯形矫正左右 ±15度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投放画面大小30~300英寸</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影片效果2D</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标称亮度(ANSI流明)</w:t>
            </w:r>
            <w:r>
              <w:rPr>
                <w:rFonts w:hint="eastAsia" w:ascii="宋体" w:hAnsi="宋体" w:eastAsia="宋体" w:cs="宋体"/>
                <w:i w:val="0"/>
                <w:iCs w:val="0"/>
                <w:caps w:val="0"/>
                <w:color w:val="000000"/>
                <w:spacing w:val="0"/>
                <w:sz w:val="24"/>
                <w:szCs w:val="24"/>
                <w:shd w:val="clear" w:color="auto" w:fill="FFFFFF"/>
                <w:lang w:eastAsia="zh-CN"/>
              </w:rPr>
              <w:t>不低于</w:t>
            </w:r>
            <w:r>
              <w:rPr>
                <w:rFonts w:hint="eastAsia" w:ascii="宋体" w:hAnsi="宋体" w:eastAsia="宋体" w:cs="宋体"/>
                <w:i w:val="0"/>
                <w:iCs w:val="0"/>
                <w:caps w:val="0"/>
                <w:color w:val="000000"/>
                <w:spacing w:val="0"/>
                <w:sz w:val="24"/>
                <w:szCs w:val="24"/>
                <w:shd w:val="clear" w:color="auto" w:fill="FFFFFF"/>
              </w:rPr>
              <w:t>3500流明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投影技术三片LCD技术</w:t>
            </w:r>
          </w:p>
          <w:p>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eastAsia" w:ascii="宋体" w:hAnsi="宋体" w:eastAsia="宋体" w:cs="宋体"/>
                <w:b/>
                <w:bCs/>
                <w:color w:val="000000"/>
                <w:sz w:val="24"/>
                <w:szCs w:val="24"/>
              </w:rPr>
            </w:pPr>
            <w:r>
              <w:rPr>
                <w:rFonts w:hint="eastAsia" w:ascii="宋体" w:hAnsi="宋体" w:eastAsia="宋体" w:cs="宋体"/>
                <w:i w:val="0"/>
                <w:iCs w:val="0"/>
                <w:caps w:val="0"/>
                <w:color w:val="000000"/>
                <w:spacing w:val="0"/>
                <w:sz w:val="24"/>
                <w:szCs w:val="24"/>
                <w:shd w:val="clear" w:color="auto" w:fill="FFFFFF"/>
              </w:rPr>
              <w:t>屏幕比例16：9投影方式正投</w:t>
            </w:r>
          </w:p>
          <w:p>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显示技术三片LCD技术</w:t>
            </w:r>
          </w:p>
          <w:p>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color="auto" w:fill="FFFFFF"/>
              </w:rPr>
              <w:t>投影尺寸(长*宽) (mm)1280*800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lang w:val="en-US" w:eastAsia="zh-CN"/>
              </w:rPr>
              <w:t>充电宝</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输入电压 (V)2.4</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输入电流 (A)4.5</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输出电压 (V)5</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输出电流 (A)2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电池容量 (mAh)20000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录音笔</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内存容量不小于</w:t>
            </w:r>
            <w:r>
              <w:rPr>
                <w:rFonts w:hint="eastAsia" w:ascii="宋体" w:hAnsi="宋体" w:eastAsia="宋体" w:cs="宋体"/>
                <w:color w:val="000000"/>
                <w:sz w:val="24"/>
                <w:szCs w:val="24"/>
                <w:lang w:val="en-US" w:eastAsia="zh-CN"/>
              </w:rPr>
              <w:t>4GB，扩展存储不小于128G</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续航时长不少于20小时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移动无线硬盘</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存储容量</w:t>
            </w:r>
            <w:r>
              <w:rPr>
                <w:rFonts w:hint="eastAsia" w:ascii="宋体" w:hAnsi="宋体" w:eastAsia="宋体" w:cs="宋体"/>
                <w:color w:val="000000"/>
                <w:sz w:val="24"/>
                <w:szCs w:val="24"/>
                <w:lang w:val="en-US" w:eastAsia="zh-CN"/>
              </w:rPr>
              <w:t>2TB</w:t>
            </w:r>
          </w:p>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影像记录仪</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color="auto" w:fill="FFFFFF"/>
              </w:rPr>
              <w:t>3600万高清</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rPr>
              <w:t>标配32G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便携式打印机</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最大打印幅面A4</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远程打印方式无线</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是否支持网络打印有线/无线网络打印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墨盒类型分体式墨盒</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接口类型无线直连、USB</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耗材类型墨盒</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val="en-US" w:eastAsia="zh-CN"/>
              </w:rPr>
              <w:t>供纸方式自动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流调手机</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版本：8GB+128GB全网通，CPU型号:MediaTek MT6769T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CPU主频:2*Cortex-A75 2.0GHz + 6*Cortex-A55 1.8GHz</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电池容量：3800mAh（典型值）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理论充电时间：约65分钟充满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val="en-US" w:eastAsia="zh-CN"/>
              </w:rPr>
              <w:t>屏幕尺寸：6.53英寸</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rightChars="0"/>
        <w:textAlignment w:val="auto"/>
        <w:rPr>
          <w:rFonts w:hint="eastAsia" w:ascii="宋体" w:hAnsi="宋体" w:eastAsia="宋体" w:cs="宋体"/>
          <w:b/>
          <w:bCs/>
          <w:color w:val="000000"/>
          <w:sz w:val="24"/>
          <w:szCs w:val="24"/>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rightChars="0"/>
        <w:textAlignment w:val="auto"/>
        <w:rPr>
          <w:rFonts w:hint="eastAsia" w:ascii="宋体" w:hAnsi="宋体" w:eastAsia="宋体" w:cs="宋体"/>
          <w:b w:val="0"/>
          <w:bCs w:val="0"/>
          <w:color w:val="000000"/>
          <w:sz w:val="24"/>
          <w:szCs w:val="24"/>
          <w:lang w:val="en-US" w:eastAsia="zh-CN"/>
        </w:rPr>
      </w:pPr>
    </w:p>
    <w:p>
      <w:pPr>
        <w:pStyle w:val="2"/>
        <w:rPr>
          <w:rFonts w:hint="eastAsia" w:ascii="宋体" w:hAnsi="宋体" w:eastAsia="宋体" w:cs="宋体"/>
          <w:b w:val="0"/>
          <w:bCs w:val="0"/>
          <w:color w:val="000000"/>
          <w:sz w:val="24"/>
          <w:szCs w:val="24"/>
          <w:lang w:val="en-US" w:eastAsia="zh-CN"/>
        </w:rPr>
      </w:pPr>
    </w:p>
    <w:p>
      <w:pPr>
        <w:rPr>
          <w:rFonts w:hint="eastAsia"/>
          <w:lang w:val="en-US" w:eastAsia="zh-CN"/>
        </w:rPr>
      </w:pPr>
      <w:r>
        <w:rPr>
          <w:rFonts w:hint="eastAsia"/>
          <w:lang w:val="en-US" w:eastAsia="zh-CN"/>
        </w:rPr>
        <w:br w:type="page"/>
      </w:r>
    </w:p>
    <w:bookmarkEnd w:id="10"/>
    <w:p>
      <w:pPr>
        <w:keepNext/>
        <w:tabs>
          <w:tab w:val="left" w:pos="3360"/>
        </w:tabs>
        <w:snapToGrid w:val="0"/>
        <w:spacing w:line="360" w:lineRule="auto"/>
        <w:jc w:val="center"/>
        <w:outlineLvl w:val="0"/>
        <w:rPr>
          <w:rFonts w:hint="eastAsia" w:ascii="宋体" w:hAnsi="宋体" w:cs="宋体"/>
          <w:b/>
          <w:color w:val="auto"/>
          <w:sz w:val="44"/>
        </w:rPr>
      </w:pPr>
      <w:bookmarkStart w:id="12" w:name="_Toc24718"/>
      <w:r>
        <w:rPr>
          <w:rFonts w:hint="eastAsia" w:ascii="宋体" w:hAnsi="宋体" w:cs="宋体"/>
          <w:b/>
          <w:color w:val="auto"/>
          <w:sz w:val="44"/>
        </w:rPr>
        <w:t>第三篇  询价采购项目商务要求</w:t>
      </w:r>
      <w:bookmarkEnd w:id="12"/>
    </w:p>
    <w:p>
      <w:pPr>
        <w:pStyle w:val="4"/>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color w:val="auto"/>
          <w:sz w:val="24"/>
          <w:szCs w:val="24"/>
        </w:rPr>
      </w:pPr>
      <w:bookmarkStart w:id="13" w:name="_Toc496613361"/>
      <w:bookmarkStart w:id="14" w:name="_Toc267320049"/>
      <w:r>
        <w:rPr>
          <w:rFonts w:hint="eastAsia" w:ascii="宋体" w:hAnsi="宋体" w:eastAsia="宋体" w:cs="宋体"/>
          <w:b w:val="0"/>
          <w:color w:val="auto"/>
          <w:sz w:val="24"/>
          <w:szCs w:val="24"/>
        </w:rPr>
        <w:t>一、交货期、交货地点及验收方式</w:t>
      </w:r>
      <w:bookmarkEnd w:id="13"/>
      <w:bookmarkEnd w:id="14"/>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bookmarkStart w:id="15" w:name="_Toc496613362"/>
      <w:r>
        <w:rPr>
          <w:rFonts w:hint="eastAsia" w:ascii="宋体" w:hAnsi="宋体" w:eastAsia="宋体" w:cs="宋体"/>
          <w:color w:val="auto"/>
          <w:sz w:val="24"/>
          <w:szCs w:val="24"/>
        </w:rPr>
        <w:t>（一）交货期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自签订合同之日开始计算，中标人</w:t>
      </w:r>
      <w:r>
        <w:rPr>
          <w:rFonts w:hint="eastAsia" w:ascii="宋体" w:hAnsi="宋体" w:eastAsia="宋体" w:cs="宋体"/>
          <w:color w:val="auto"/>
          <w:sz w:val="24"/>
          <w:szCs w:val="24"/>
          <w:u w:val="single" w:color="auto"/>
          <w:lang w:val="en-US" w:eastAsia="zh-CN"/>
        </w:rPr>
        <w:t>20</w:t>
      </w:r>
      <w:r>
        <w:rPr>
          <w:rFonts w:hint="eastAsia" w:ascii="宋体" w:hAnsi="宋体" w:eastAsia="宋体" w:cs="宋体"/>
          <w:color w:val="auto"/>
          <w:sz w:val="24"/>
          <w:szCs w:val="24"/>
        </w:rPr>
        <w:t>日历天内交货并完成安装调试。</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（二）交货地点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采购人指定地点。</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（三）验收方式</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1、货物到达现场后，供应商应在使用单位人员在场情况下当面开箱，共同清点，检查外观，作出开箱记录，双方签字确认。</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2、供应商应保证货物到达用户所在地完好无损，如有缺漏、损坏，由成交供应商负责调换、补齐或赔偿。</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3、成交供应商应提供完备的技术资料、装箱单和合格证等，并派遣专业技术人员进行现场安装调试，验收合格条件如下：</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（1）货物技术参数与采购合同一致，性能指标达到规定的标准。</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（2）货物技术资料、装箱单、合格证及相关检测报告等资料齐全。</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（3）在系统试运行期间所出现的问题得到解决，并运行正常。</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（4）在规定时间内完成交货并验收，并经采购人确认。</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产品在安装调试并试运行符合要求后，才作为最终验收。</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5、供应商提供的货物未达到询价文件规定要求，对采购人造成损失的，由成交供应商承担一切责任，并赔偿所造成的损失。</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6、采购人需要厂家对成交供应商交付的产品（包括质量、技术参数等）进行确认的，厂家应予以配合，并出具书面意见。产品包装材料归采购人所有。</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7、在规定时间内完成采购人给出的所有项目，须采购人最终确认。 </w:t>
      </w:r>
    </w:p>
    <w:p>
      <w:pPr>
        <w:pStyle w:val="4"/>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二、报价要求</w:t>
      </w:r>
      <w:bookmarkEnd w:id="15"/>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次报价须为人民币报价，包含：完成采购项目所需的货物购买（制造）费、服务费、量尺寸、人工、检测、辅材费、运输费、装卸费、税费等验收合格之前应发生的一切与本项目相关的所有费用，以及免费质保期内可能发生的服务费用等货到采购人指定地点的所有费用。（供应商如有漏项，则被认为此项费用已包括在总报价中）。</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三、质量保证及售后服务</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（一）产品质量保证期</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1、供应商应明确承诺：自验收合格之日起，其投标产品免费质量保证期达到</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，对设备进行定期的检测与维护。</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2、投标产品属于国家规定“三包”范围的，其产品质量保证期不得低于“三包”规定。</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3、供应商的质量保证期承诺优于国家“三包”规定的，按供应商实际承诺执行。</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（二）售后服务内容</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供应商和厂家在质量保证期内应当为采购人提供以下技术支持服务：</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1、质量保证期内服务要求</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（1）电话咨询</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供应商和厂家应当为用户提供技术援助电话，解答用户在使用中遇到的问题，及时为用户提出解决问题的建议。</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（2）现场响应</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保期内，产品出现质量问题，成交供应商应在接到采购人通知后4小时内赶至现场，免费更换零配件，故障排除时间小于8小时，成交供应商不得收取任何费用。质保期满后，按最优惠价格提供零配件，免收服务费。</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（3）技术升级</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在质保期内，如果供应商和厂家的产品技术升级，供应商应及时通知采购人，如采购人有相应要求，供应商和厂家应对采购人进行升级服务。</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2、质保期外服务要求</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（1）质量保证期过后，供应商和厂家应同样提供免费电话咨询服务，并应承诺提供产品上门维护服务。</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（2）质量保证期过后，采购人需要继续由原供应商和制造商提供售后服务的，该供应商和制造商应以优惠价格提供售后服务。</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（三）故障响应时间要求</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供应商接到使用方产品出现问题的通知后立即作出响应，4小时内到达现场进行处理。</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（四）维修配件</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成交供应商和制造商售后服务中，维修使用的零配件应为原厂配件，未经采购人同意不得使用非原厂配件。</w:t>
      </w:r>
    </w:p>
    <w:p>
      <w:pPr>
        <w:pStyle w:val="58"/>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四、付款方式</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bookmarkStart w:id="16" w:name="OLE_LINK4"/>
      <w:bookmarkStart w:id="17" w:name="OLE_LINK3"/>
      <w:r>
        <w:rPr>
          <w:rFonts w:hint="eastAsia" w:ascii="宋体" w:hAnsi="宋体" w:eastAsia="宋体" w:cs="宋体"/>
          <w:color w:val="auto"/>
          <w:kern w:val="0"/>
          <w:sz w:val="24"/>
          <w:szCs w:val="24"/>
          <w:highlight w:val="none"/>
        </w:rPr>
        <w:t>合同签订时成交供应商向采购人缴纳合同金额</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%的履约保证金（以</w:t>
      </w:r>
      <w:r>
        <w:rPr>
          <w:rFonts w:hint="eastAsia" w:ascii="宋体" w:hAnsi="宋体" w:eastAsia="宋体" w:cs="宋体"/>
          <w:color w:val="auto"/>
          <w:kern w:val="0"/>
          <w:sz w:val="24"/>
          <w:szCs w:val="24"/>
          <w:highlight w:val="none"/>
          <w:lang w:val="en-US" w:eastAsia="zh-CN"/>
        </w:rPr>
        <w:t>现金或</w:t>
      </w:r>
      <w:r>
        <w:rPr>
          <w:rFonts w:hint="eastAsia" w:ascii="宋体" w:hAnsi="宋体" w:eastAsia="宋体" w:cs="宋体"/>
          <w:color w:val="auto"/>
          <w:kern w:val="0"/>
          <w:sz w:val="24"/>
          <w:szCs w:val="24"/>
          <w:highlight w:val="none"/>
        </w:rPr>
        <w:t>非现金形式提交）</w:t>
      </w:r>
      <w:bookmarkEnd w:id="16"/>
      <w:bookmarkEnd w:id="17"/>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（二）成交供应商按采购合同交货并安装调试完成，经验收合格后采购人出具项目验收报告；成交供应商向采购人开具发票，采购人以转账方式向成交供应商支付结算金额全款；</w:t>
      </w:r>
    </w:p>
    <w:p>
      <w:pPr>
        <w:pStyle w:val="58"/>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kern w:val="0"/>
          <w:sz w:val="24"/>
          <w:szCs w:val="24"/>
          <w:highlight w:val="none"/>
        </w:rPr>
        <w:t>（三）履约保证金</w:t>
      </w:r>
      <w:r>
        <w:rPr>
          <w:rFonts w:hint="eastAsia" w:ascii="宋体" w:hAnsi="宋体" w:eastAsia="宋体" w:cs="宋体"/>
          <w:bCs/>
          <w:color w:val="auto"/>
          <w:sz w:val="24"/>
          <w:szCs w:val="24"/>
          <w:highlight w:val="none"/>
        </w:rPr>
        <w:t>在合同履行完毕后30日内全额退还</w:t>
      </w:r>
      <w:r>
        <w:rPr>
          <w:rFonts w:hint="eastAsia" w:ascii="宋体" w:hAnsi="宋体" w:eastAsia="宋体" w:cs="宋体"/>
          <w:color w:val="auto"/>
          <w:kern w:val="0"/>
          <w:sz w:val="24"/>
          <w:szCs w:val="24"/>
          <w:highlight w:val="none"/>
        </w:rPr>
        <w:t>。</w:t>
      </w:r>
    </w:p>
    <w:p>
      <w:pPr>
        <w:pStyle w:val="58"/>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五、知识产权</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pStyle w:val="58"/>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szCs w:val="24"/>
        </w:rPr>
      </w:pPr>
      <w:bookmarkStart w:id="18" w:name="_Toc441065671"/>
      <w:bookmarkStart w:id="19" w:name="_Toc267320053"/>
      <w:bookmarkStart w:id="20" w:name="_Toc27222"/>
      <w:r>
        <w:rPr>
          <w:rFonts w:hint="eastAsia" w:ascii="宋体" w:hAnsi="宋体" w:eastAsia="宋体" w:cs="宋体"/>
          <w:b/>
          <w:bCs/>
          <w:color w:val="auto"/>
          <w:sz w:val="24"/>
          <w:szCs w:val="24"/>
        </w:rPr>
        <w:t>六、培训</w:t>
      </w:r>
      <w:bookmarkEnd w:id="18"/>
      <w:bookmarkEnd w:id="19"/>
      <w:bookmarkEnd w:id="20"/>
    </w:p>
    <w:p>
      <w:pPr>
        <w:pStyle w:val="58"/>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供应商对其提供产品的使用和操作应尽培训义务。供应商应提供对采购人的基本免费培训，使采购人使用人员能够正常操作。</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七、其他</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（一）供应商必须在响应文件中对以上条款和服务承诺明确列出，承诺内容必须达到本篇及询价文件其他条款的要求。</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（二）其他未尽事宜由供需双方在采购合同中详细约定。</w:t>
      </w:r>
    </w:p>
    <w:p>
      <w:pPr>
        <w:jc w:val="center"/>
        <w:rPr>
          <w:rFonts w:hint="eastAsia" w:ascii="宋体" w:hAnsi="宋体" w:cs="宋体"/>
          <w:color w:val="auto"/>
          <w:sz w:val="24"/>
        </w:rPr>
      </w:pPr>
      <w:r>
        <w:rPr>
          <w:rFonts w:hint="eastAsia" w:ascii="宋体" w:hAnsi="宋体" w:cs="宋体"/>
          <w:b/>
          <w:color w:val="auto"/>
          <w:sz w:val="44"/>
        </w:rPr>
        <w:br w:type="page"/>
      </w:r>
      <w:bookmarkStart w:id="21" w:name="_Toc13144"/>
      <w:r>
        <w:rPr>
          <w:rFonts w:hint="eastAsia" w:ascii="宋体" w:hAnsi="宋体" w:cs="宋体"/>
          <w:b/>
          <w:color w:val="auto"/>
          <w:sz w:val="44"/>
        </w:rPr>
        <w:t>第四篇  供应商须知</w:t>
      </w:r>
      <w:bookmarkEnd w:id="21"/>
    </w:p>
    <w:p>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bCs/>
          <w:color w:val="auto"/>
          <w:sz w:val="24"/>
          <w:szCs w:val="22"/>
        </w:rPr>
      </w:pPr>
      <w:r>
        <w:rPr>
          <w:rFonts w:hint="eastAsia" w:ascii="宋体" w:hAnsi="宋体" w:cs="宋体"/>
          <w:b/>
          <w:bCs/>
          <w:color w:val="auto"/>
          <w:sz w:val="24"/>
          <w:szCs w:val="22"/>
        </w:rPr>
        <w:t>一、询价费用</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参与报价的供应商应承担其编制响应文件与递交响应文件所涉及的一切费用，不论采购结果如何，采购人和采购代理机构在任何情况下无义务也无责任承担这些费用。</w:t>
      </w:r>
    </w:p>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二、供应商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（一）供应商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供应商是指响应询价、参加询价竞争的法人、其他组织或者自然人。</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（二）合格供应商条件</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合格供应商应完全符合询价文件第一篇中规定的供应商资格条件，并对询价文件作出实质性响应。</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（三）供应商的风险</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供应商没有按照询价文件要求提供全部资料，或者供应商没有对询价文件在各方面作出实质性响应，可能导致响应被拒绝或评定为无效响应。</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（四）法律责任</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供应商违反《中华人民共和国政府采购法》、《中华人民共和国政府采购</w:t>
      </w:r>
      <w:r>
        <w:rPr>
          <w:rFonts w:hint="eastAsia" w:ascii="宋体" w:hAnsi="宋体" w:cs="宋体"/>
          <w:color w:val="auto"/>
          <w:sz w:val="24"/>
          <w:lang w:val="en-US" w:eastAsia="zh-CN"/>
        </w:rPr>
        <w:t>法</w:t>
      </w:r>
      <w:r>
        <w:rPr>
          <w:rFonts w:hint="eastAsia" w:ascii="宋体" w:hAnsi="宋体" w:cs="宋体"/>
          <w:color w:val="auto"/>
          <w:sz w:val="24"/>
        </w:rPr>
        <w:t>实施条例》等相关规定，将按规定追究供应商法律责任。</w:t>
      </w:r>
    </w:p>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三、询价文件</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询价文件是供应商编制响应文件的依据，是询价小组评判依据和标准。询价文件也是采购人与成交供应商签订合同的基础。</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b/>
          <w:color w:val="auto"/>
          <w:sz w:val="24"/>
        </w:rPr>
      </w:pPr>
      <w:r>
        <w:rPr>
          <w:rFonts w:hint="eastAsia" w:ascii="宋体" w:hAnsi="宋体" w:cs="宋体"/>
          <w:color w:val="auto"/>
          <w:sz w:val="24"/>
        </w:rPr>
        <w:t>（一）询价文件由询价采购邀请书；询价采购项目技术需求；询价采购项目商务要求；供应商须知；合同主要条款和格式合同（样本）；响应文件格式等六部分组成。</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（二）采购代理机构对询价文件所作的一切有效的书面通知、修改及补充，都是询价文件不可分割的部分。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（三）询价文件的解释</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rPr>
      </w:pPr>
      <w:r>
        <w:rPr>
          <w:rFonts w:hint="eastAsia" w:ascii="宋体" w:hAnsi="宋体" w:cs="宋体"/>
          <w:color w:val="auto"/>
          <w:sz w:val="24"/>
          <w:szCs w:val="22"/>
        </w:rPr>
        <w:t>供应商如对询价文件有疑问，必须以书面形式，在提交响应文件截止时间1个工作日前向采购人（或采购机构）要求澄清，采购人（或采购机构）可视具体情况做出处理或答复。如供应商未提出疑问，视为完全理解并同意本询价文件。一经进入询价程序，即视为供应商已详细阅读全部文件资料，完全理解询价文件所有条款内容并同意放弃对这方面有不明白及误解的权利。</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（四）本项目的询价文件、补遗文件（如果有）一律在</w:t>
      </w:r>
      <w:r>
        <w:rPr>
          <w:rFonts w:hint="eastAsia" w:ascii="宋体" w:hAnsi="宋体" w:eastAsia="宋体" w:cs="宋体"/>
          <w:color w:val="auto"/>
          <w:kern w:val="21"/>
          <w:sz w:val="24"/>
          <w:szCs w:val="24"/>
        </w:rPr>
        <w:t>“重庆市梁平区卫生健康委员会（http://www.cqlp.gov.cn/wsjkw/）或</w:t>
      </w:r>
      <w:r>
        <w:rPr>
          <w:rFonts w:hint="eastAsia" w:ascii="宋体" w:hAnsi="宋体" w:eastAsia="宋体" w:cs="宋体"/>
          <w:color w:val="auto"/>
          <w:kern w:val="21"/>
          <w:sz w:val="24"/>
          <w:szCs w:val="24"/>
          <w:lang w:eastAsia="zh-CN"/>
        </w:rPr>
        <w:t>在</w:t>
      </w:r>
      <w:r>
        <w:rPr>
          <w:rFonts w:hint="eastAsia" w:ascii="宋体" w:hAnsi="宋体" w:eastAsia="宋体" w:cs="宋体"/>
          <w:color w:val="auto"/>
          <w:kern w:val="21"/>
          <w:sz w:val="24"/>
          <w:szCs w:val="24"/>
        </w:rPr>
        <w:t>重庆市梁平区疾病预防控制中心张贴栏</w:t>
      </w:r>
      <w:r>
        <w:rPr>
          <w:rFonts w:hint="eastAsia" w:ascii="宋体" w:hAnsi="宋体" w:eastAsia="宋体" w:cs="宋体"/>
          <w:color w:val="auto"/>
          <w:kern w:val="21"/>
          <w:sz w:val="24"/>
          <w:szCs w:val="24"/>
          <w:lang w:eastAsia="zh-CN"/>
        </w:rPr>
        <w:t>”</w:t>
      </w:r>
      <w:r>
        <w:rPr>
          <w:rFonts w:hint="eastAsia" w:ascii="宋体" w:hAnsi="宋体" w:cs="宋体"/>
          <w:color w:val="auto"/>
          <w:sz w:val="24"/>
        </w:rPr>
        <w:t>上发布，请各供应商注意下载；无论供应商下载或领取与否，均视同供应商已知晓本项目询价文件、补遗文件的内容。</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（五）采购代理机构对已发出的询价文件需要进行澄清或修改的，应以书面形式或公告形式通知所有询价文件收受人。该澄清或者修改的内容为询价文件的组成部分。</w:t>
      </w:r>
    </w:p>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四、响应文件</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供应商应当按照询价文件的要求编制响应文件，并对询价文件提出的要求和条件作出实质性响应，响应文件原则上采用软面订本，同时应编制完整的页码、目录。</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（一）响应文件组成</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响应文件由第六篇“响应文件格式”规定的部分和供应商所作的一切有效补充、修改和承诺等文件组成，供应商应按照第六篇“响应文件格式”规定的目录顺序组织编写和装订，否则有可能影响评委对响应文件的评审。</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（二）联合体</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 本次采购不接受联合体响应。</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（三）询价有效期</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 询价有效期为响应文件递交截止日期后九十天内。</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（四）询价保证金</w:t>
      </w:r>
    </w:p>
    <w:p>
      <w:pPr>
        <w:pageBreakBefore w:val="0"/>
        <w:widowControl w:val="0"/>
        <w:tabs>
          <w:tab w:val="left" w:pos="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 供应商应在响应文件递交截止时间前，按询价文件第一篇规定缴纳询价保证金。</w:t>
      </w:r>
    </w:p>
    <w:p>
      <w:pPr>
        <w:pageBreakBefore w:val="0"/>
        <w:widowControl w:val="0"/>
        <w:tabs>
          <w:tab w:val="left" w:pos="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 询价保证金为参与响应的有效约束条件。</w:t>
      </w:r>
    </w:p>
    <w:p>
      <w:pPr>
        <w:pageBreakBefore w:val="0"/>
        <w:widowControl w:val="0"/>
        <w:tabs>
          <w:tab w:val="left" w:pos="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3. 询价保证金的有效期限在询价有效期过后三十天内继续有效。</w:t>
      </w:r>
    </w:p>
    <w:p>
      <w:pPr>
        <w:pageBreakBefore w:val="0"/>
        <w:widowControl w:val="0"/>
        <w:tabs>
          <w:tab w:val="left" w:pos="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4. 询价保证金币种应与响应报价币种相同。</w:t>
      </w:r>
    </w:p>
    <w:p>
      <w:pPr>
        <w:pageBreakBefore w:val="0"/>
        <w:widowControl w:val="0"/>
        <w:tabs>
          <w:tab w:val="left" w:pos="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5.采购代理机构在《成交通知书》发出后五个工作日内退还未成交供应商的询价保证金；在采购合同签订后五个工作日退还成交供应商的询价保证金。</w:t>
      </w:r>
    </w:p>
    <w:p>
      <w:pPr>
        <w:pageBreakBefore w:val="0"/>
        <w:widowControl w:val="0"/>
        <w:tabs>
          <w:tab w:val="left" w:pos="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 供应商有下列情形之一的，可以不退还询价保证金：</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6.1 供应商在询价有效期内撤回响应文件的；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6.2 供应商未按规定提交履约保证金的；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6.3 供应商在响应过程中弄虚作假，提供虚假材料的；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6.4 成交供应商无正当理由不与采购人签订合同的；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6.5 成交供应商将成交项目转让给他人或者在响应文件中未说明且未经采购人同意，将成交项目分包给他人的；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6.6 成交供应商拒绝履行合同义务的；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6.7 其他严重扰乱采购程序的。</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（五）响应文件的份数和签署</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b/>
          <w:bCs/>
          <w:color w:val="auto"/>
          <w:sz w:val="24"/>
        </w:rPr>
        <w:t xml:space="preserve"> 响应文件一式</w:t>
      </w:r>
      <w:r>
        <w:rPr>
          <w:rFonts w:hint="eastAsia" w:ascii="宋体" w:hAnsi="宋体" w:cs="宋体"/>
          <w:b/>
          <w:bCs/>
          <w:color w:val="auto"/>
          <w:sz w:val="24"/>
          <w:lang w:val="en-US" w:eastAsia="zh-CN"/>
        </w:rPr>
        <w:t>四</w:t>
      </w:r>
      <w:r>
        <w:rPr>
          <w:rFonts w:hint="eastAsia" w:ascii="宋体" w:hAnsi="宋体" w:cs="宋体"/>
          <w:b/>
          <w:bCs/>
          <w:color w:val="auto"/>
          <w:sz w:val="24"/>
        </w:rPr>
        <w:t>份，其中正本一份，副本二份</w:t>
      </w:r>
      <w:r>
        <w:rPr>
          <w:rFonts w:hint="eastAsia" w:ascii="宋体" w:hAnsi="宋体" w:cs="宋体"/>
          <w:b/>
          <w:bCs/>
          <w:color w:val="auto"/>
          <w:sz w:val="24"/>
          <w:lang w:eastAsia="zh-CN"/>
        </w:rPr>
        <w:t>，</w:t>
      </w:r>
      <w:r>
        <w:rPr>
          <w:rFonts w:hint="eastAsia" w:ascii="宋体" w:hAnsi="宋体" w:cs="宋体"/>
          <w:b/>
          <w:bCs/>
          <w:color w:val="auto"/>
          <w:sz w:val="24"/>
          <w:szCs w:val="24"/>
        </w:rPr>
        <w:t>电子文档一份</w:t>
      </w:r>
      <w:r>
        <w:rPr>
          <w:rFonts w:hint="eastAsia" w:ascii="宋体" w:hAnsi="宋体" w:cs="宋体"/>
          <w:color w:val="auto"/>
          <w:sz w:val="24"/>
        </w:rPr>
        <w:t>。每套纸质响应文件须在封面清楚地标明“正本”、“副本”，副本应为正本的完整复印件，副本与正本不一致时以正本为准。响应文件必须标注正副本，未标注的按无效响应处理。</w:t>
      </w:r>
    </w:p>
    <w:p>
      <w:pPr>
        <w:pageBreakBefore w:val="0"/>
        <w:widowControl w:val="0"/>
        <w:tabs>
          <w:tab w:val="left" w:pos="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 在响应文件正本中，询价文件第六篇响应文件格式中规定签字、盖章的地方必须按其规定签字、盖鲜章。</w:t>
      </w:r>
    </w:p>
    <w:p>
      <w:pPr>
        <w:pageBreakBefore w:val="0"/>
        <w:widowControl w:val="0"/>
        <w:tabs>
          <w:tab w:val="left" w:pos="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3. 若供应商对响应文件的错处作必要修改，则应在修改处加盖供应商公章或由法定代表人或法定代表人授权代表签字确认。</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4. 电报、电话、传真形式的响应文件概不接受。</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（六）响应报价</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1. 供应商应严格按照“响应文件格式”中“报价一览表”的格式填写报价。</w:t>
      </w:r>
    </w:p>
    <w:p>
      <w:pPr>
        <w:pageBreakBefore w:val="0"/>
        <w:widowControl w:val="0"/>
        <w:kinsoku/>
        <w:wordWrap/>
        <w:overflowPunct/>
        <w:topLinePunct w:val="0"/>
        <w:autoSpaceDE/>
        <w:autoSpaceDN/>
        <w:bidi w:val="0"/>
        <w:adjustRightInd/>
        <w:snapToGrid w:val="0"/>
        <w:spacing w:line="400" w:lineRule="exact"/>
        <w:ind w:left="3" w:firstLine="480" w:firstLineChars="200"/>
        <w:textAlignment w:val="auto"/>
        <w:rPr>
          <w:rFonts w:hint="eastAsia" w:ascii="宋体" w:hAnsi="宋体" w:cs="宋体"/>
          <w:color w:val="auto"/>
          <w:sz w:val="24"/>
        </w:rPr>
      </w:pPr>
      <w:r>
        <w:rPr>
          <w:rFonts w:hint="eastAsia" w:ascii="宋体" w:hAnsi="宋体" w:cs="宋体"/>
          <w:color w:val="auto"/>
          <w:sz w:val="24"/>
        </w:rPr>
        <w:t>2. 供应商的报价为一次性报价，即在询价有效期内响应价格固定不变。</w:t>
      </w:r>
    </w:p>
    <w:p>
      <w:pPr>
        <w:pageBreakBefore w:val="0"/>
        <w:widowControl w:val="0"/>
        <w:kinsoku/>
        <w:wordWrap/>
        <w:overflowPunct/>
        <w:topLinePunct w:val="0"/>
        <w:autoSpaceDE/>
        <w:autoSpaceDN/>
        <w:bidi w:val="0"/>
        <w:adjustRightInd/>
        <w:snapToGrid w:val="0"/>
        <w:spacing w:line="400" w:lineRule="exact"/>
        <w:ind w:left="3" w:firstLine="480" w:firstLineChars="200"/>
        <w:textAlignment w:val="auto"/>
        <w:rPr>
          <w:rFonts w:hint="eastAsia" w:ascii="宋体" w:hAnsi="宋体" w:cs="宋体"/>
          <w:color w:val="auto"/>
          <w:sz w:val="24"/>
        </w:rPr>
      </w:pPr>
      <w:r>
        <w:rPr>
          <w:rFonts w:hint="eastAsia" w:ascii="宋体" w:hAnsi="宋体" w:cs="宋体"/>
          <w:color w:val="auto"/>
          <w:sz w:val="24"/>
        </w:rPr>
        <w:t>3. 本项目只接受一个响应报价，有选择的或有条件的报价将不予接受。</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（七）修正错误</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若响应文件出现计算或表达上的错误，修正错误的原则如下：</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1.响应文件中报价一览表内容与响应文件中相应内容不一致的，以报价一览表为准；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2.大写金额和小写金额不一致的，以大写金额为准；大写金额有误的，按无效响应处理；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3.单价金额小数点或者百分比有明显错位的，以报价一览表的总价为准，并修改单价；</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4.总价金额与按单价汇总金额不一致的，以单价金额计算结果为准。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询价小组按上述修正错误的原则及方法调整或修正供应商响应报价，若同时出现两种以上不一致的，按照前款规定的顺序修正，供应商同意并签字确认后，调整后的响应报价对供应商具有约束作用。如果供应商不接受修正后的报价，则其响应将作为无效响应处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（八）响应文件的递交</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szCs w:val="24"/>
          <w:lang w:val="en-US" w:eastAsia="zh-CN"/>
        </w:rPr>
        <w:t>响应</w:t>
      </w:r>
      <w:r>
        <w:rPr>
          <w:rFonts w:hint="eastAsia" w:ascii="宋体" w:hAnsi="宋体" w:cs="宋体"/>
          <w:color w:val="auto"/>
          <w:sz w:val="24"/>
          <w:szCs w:val="24"/>
        </w:rPr>
        <w:t>文件的正本、副本以及电子文档均应密封送达投标地点，应在封套上注明项目名称（分包号及名称）、投标人名称。若正本、副本以及电子文档分别进行密封的，还应在封套上注明“正本”、“副本”、“电子文档”字样。</w:t>
      </w:r>
    </w:p>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五、询价程序</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1、询价按询价文件规定的时间和地点进行。</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2、供应商须有法定代表人或其授权代表参加并签到。</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3、询价小组由三人专家组构成，询价小组在对响应文件的响应情况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4、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5、询价过程中询价的任何一方不得向他人透露与询价有关的信息。</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6、供应商在询价时作出的所有书面承诺须由法定代表人或其授权代表签字。</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b/>
          <w:color w:val="auto"/>
          <w:sz w:val="24"/>
        </w:rPr>
      </w:pPr>
      <w:r>
        <w:rPr>
          <w:rFonts w:hint="eastAsia" w:ascii="宋体" w:hAnsi="宋体" w:cs="宋体"/>
          <w:color w:val="auto"/>
          <w:sz w:val="24"/>
          <w:szCs w:val="22"/>
        </w:rPr>
        <w:t>7、询价结束后，询价小组、推荐成交候选人名单。询价小组按合格供应商报价总额由低到高顺序排名，推荐前三名为成交候选人，依次为第1成交候选人、第2成交候选人和第3成交候选人；总报价相同的，由合格供应商的授权代表在询价现场抽签决定顺序排名。</w:t>
      </w:r>
    </w:p>
    <w:p>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szCs w:val="22"/>
        </w:rPr>
      </w:pPr>
      <w:r>
        <w:rPr>
          <w:rFonts w:hint="eastAsia" w:ascii="宋体" w:hAnsi="宋体" w:cs="宋体"/>
          <w:b/>
          <w:color w:val="auto"/>
          <w:sz w:val="24"/>
          <w:szCs w:val="22"/>
        </w:rPr>
        <w:t>六、成交原则</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1、评审办法</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1.1询价小组将依照询价文件要求对能满足要求的供应商提交的报价按照由低到高的顺序提出3名成交候选人，并编写评审报告。</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2、评审细则：</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2.1 资格符合性检查和对响应文件的有效性、完整性和响应程度检查等符合性审查</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b/>
          <w:color w:val="auto"/>
          <w:sz w:val="24"/>
        </w:rPr>
      </w:pPr>
      <w:r>
        <w:rPr>
          <w:rFonts w:hint="eastAsia" w:ascii="宋体" w:hAnsi="宋体" w:cs="宋体"/>
          <w:color w:val="auto"/>
          <w:sz w:val="24"/>
          <w:szCs w:val="22"/>
        </w:rPr>
        <w:t>2.2资格性检查资料表如下：</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w:t>
            </w:r>
          </w:p>
        </w:tc>
        <w:tc>
          <w:tcPr>
            <w:tcW w:w="709" w:type="dxa"/>
            <w:vMerge w:val="restart"/>
            <w:noWrap w:val="0"/>
            <w:vAlign w:val="center"/>
          </w:tcPr>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《中华人民共和国政府采购法》第二十二条规定</w:t>
            </w:r>
          </w:p>
        </w:tc>
        <w:tc>
          <w:tcPr>
            <w:tcW w:w="2835"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tc>
        <w:tc>
          <w:tcPr>
            <w:tcW w:w="5267"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1.供应商法人营业执照（副本）或事业单位法人证书（副本）或个体工商户营业执照或有效的自然人身份证明或社会团体法人登记证书（提供复印件）</w:t>
            </w:r>
            <w:r>
              <w:rPr>
                <w:rFonts w:hint="eastAsia" w:ascii="宋体" w:hAnsi="宋体" w:eastAsia="宋体" w:cs="宋体"/>
                <w:color w:val="auto"/>
                <w:sz w:val="21"/>
                <w:szCs w:val="21"/>
                <w:lang w:val="en-US" w:eastAsia="zh-CN"/>
              </w:rPr>
              <w:t>注①</w:t>
            </w:r>
            <w:r>
              <w:rPr>
                <w:rFonts w:hint="eastAsia" w:ascii="宋体" w:hAnsi="宋体" w:eastAsia="宋体" w:cs="宋体"/>
                <w:color w:val="auto"/>
                <w:sz w:val="21"/>
                <w:szCs w:val="21"/>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center"/>
          </w:tcPr>
          <w:p>
            <w:pPr>
              <w:jc w:val="center"/>
              <w:rPr>
                <w:rFonts w:hint="eastAsia" w:ascii="宋体" w:hAnsi="宋体" w:eastAsia="宋体" w:cs="宋体"/>
                <w:color w:val="auto"/>
                <w:sz w:val="21"/>
                <w:szCs w:val="21"/>
              </w:rPr>
            </w:pPr>
          </w:p>
        </w:tc>
        <w:tc>
          <w:tcPr>
            <w:tcW w:w="709" w:type="dxa"/>
            <w:vMerge w:val="continue"/>
            <w:noWrap w:val="0"/>
            <w:vAlign w:val="center"/>
          </w:tcPr>
          <w:p>
            <w:pPr>
              <w:rPr>
                <w:rFonts w:hint="eastAsia" w:ascii="宋体" w:hAnsi="宋体" w:eastAsia="宋体" w:cs="宋体"/>
                <w:color w:val="auto"/>
                <w:sz w:val="21"/>
                <w:szCs w:val="21"/>
                <w:lang w:val="zh-CN"/>
              </w:rPr>
            </w:pPr>
          </w:p>
        </w:tc>
        <w:tc>
          <w:tcPr>
            <w:tcW w:w="2835"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rPr>
              <w:t>具有良好的商业信誉和健全的财务会计制度</w:t>
            </w:r>
          </w:p>
        </w:tc>
        <w:tc>
          <w:tcPr>
            <w:tcW w:w="5267" w:type="dxa"/>
            <w:vMerge w:val="restart"/>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投标人提供基本资格条件承诺函（见格式文件）</w:t>
            </w:r>
          </w:p>
          <w:p>
            <w:pPr>
              <w:rPr>
                <w:rFonts w:hint="eastAsia" w:ascii="宋体" w:hAnsi="宋体" w:eastAsia="宋体" w:cs="宋体"/>
                <w:color w:val="auto"/>
                <w:sz w:val="21"/>
                <w:szCs w:val="21"/>
              </w:rPr>
            </w:pPr>
            <w:r>
              <w:rPr>
                <w:rFonts w:hint="eastAsia" w:ascii="宋体" w:hAnsi="宋体" w:eastAsia="宋体" w:cs="宋体"/>
                <w:color w:val="auto"/>
                <w:sz w:val="21"/>
                <w:szCs w:val="21"/>
              </w:rPr>
              <w:t>注：供应商应对其承诺内容的真实性、合法性、有效性负责。经调查核实为虚假承诺的，视同为“提供虚假材料谋取中标、成交”的违法行为，依照《中华人民共和国政府采购法》等法律法规追究相应责任。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center"/>
          </w:tcPr>
          <w:p>
            <w:pPr>
              <w:jc w:val="center"/>
              <w:rPr>
                <w:rFonts w:hint="eastAsia" w:ascii="宋体" w:hAnsi="宋体" w:eastAsia="宋体" w:cs="宋体"/>
                <w:color w:val="auto"/>
                <w:sz w:val="21"/>
                <w:szCs w:val="21"/>
              </w:rPr>
            </w:pPr>
          </w:p>
        </w:tc>
        <w:tc>
          <w:tcPr>
            <w:tcW w:w="709" w:type="dxa"/>
            <w:vMerge w:val="continue"/>
            <w:noWrap w:val="0"/>
            <w:vAlign w:val="center"/>
          </w:tcPr>
          <w:p>
            <w:pPr>
              <w:rPr>
                <w:rFonts w:hint="eastAsia" w:ascii="宋体" w:hAnsi="宋体" w:eastAsia="宋体" w:cs="宋体"/>
                <w:color w:val="auto"/>
                <w:sz w:val="21"/>
                <w:szCs w:val="21"/>
                <w:lang w:val="zh-CN"/>
              </w:rPr>
            </w:pPr>
          </w:p>
        </w:tc>
        <w:tc>
          <w:tcPr>
            <w:tcW w:w="2835" w:type="dxa"/>
            <w:noWrap w:val="0"/>
            <w:vAlign w:val="center"/>
          </w:tcPr>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3.具有履行合同所必需的设备和专业技术能力</w:t>
            </w:r>
          </w:p>
        </w:tc>
        <w:tc>
          <w:tcPr>
            <w:tcW w:w="5267" w:type="dxa"/>
            <w:vMerge w:val="continue"/>
            <w:noWrap w:val="0"/>
            <w:vAlign w:val="center"/>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center"/>
          </w:tcPr>
          <w:p>
            <w:pPr>
              <w:jc w:val="center"/>
              <w:rPr>
                <w:rFonts w:hint="eastAsia" w:ascii="宋体" w:hAnsi="宋体" w:eastAsia="宋体" w:cs="宋体"/>
                <w:color w:val="auto"/>
                <w:sz w:val="21"/>
                <w:szCs w:val="21"/>
              </w:rPr>
            </w:pPr>
          </w:p>
        </w:tc>
        <w:tc>
          <w:tcPr>
            <w:tcW w:w="709" w:type="dxa"/>
            <w:vMerge w:val="continue"/>
            <w:noWrap w:val="0"/>
            <w:vAlign w:val="center"/>
          </w:tcPr>
          <w:p>
            <w:pPr>
              <w:rPr>
                <w:rFonts w:hint="eastAsia" w:ascii="宋体" w:hAnsi="宋体" w:eastAsia="宋体" w:cs="宋体"/>
                <w:color w:val="auto"/>
                <w:sz w:val="21"/>
                <w:szCs w:val="21"/>
                <w:lang w:val="zh-CN"/>
              </w:rPr>
            </w:pPr>
          </w:p>
        </w:tc>
        <w:tc>
          <w:tcPr>
            <w:tcW w:w="2835" w:type="dxa"/>
            <w:noWrap w:val="0"/>
            <w:vAlign w:val="center"/>
          </w:tcPr>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4.有依法缴纳税收和社会保障金的良好记录</w:t>
            </w:r>
          </w:p>
        </w:tc>
        <w:tc>
          <w:tcPr>
            <w:tcW w:w="5267" w:type="dxa"/>
            <w:vMerge w:val="continue"/>
            <w:noWrap w:val="0"/>
            <w:vAlign w:val="center"/>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center"/>
          </w:tcPr>
          <w:p>
            <w:pPr>
              <w:jc w:val="center"/>
              <w:rPr>
                <w:rFonts w:hint="eastAsia" w:ascii="宋体" w:hAnsi="宋体" w:eastAsia="宋体" w:cs="宋体"/>
                <w:color w:val="auto"/>
                <w:sz w:val="21"/>
                <w:szCs w:val="21"/>
              </w:rPr>
            </w:pPr>
          </w:p>
        </w:tc>
        <w:tc>
          <w:tcPr>
            <w:tcW w:w="709" w:type="dxa"/>
            <w:vMerge w:val="continue"/>
            <w:noWrap w:val="0"/>
            <w:vAlign w:val="center"/>
          </w:tcPr>
          <w:p>
            <w:pPr>
              <w:rPr>
                <w:rFonts w:hint="eastAsia" w:ascii="宋体" w:hAnsi="宋体" w:eastAsia="宋体" w:cs="宋体"/>
                <w:color w:val="auto"/>
                <w:sz w:val="21"/>
                <w:szCs w:val="21"/>
                <w:lang w:val="zh-CN"/>
              </w:rPr>
            </w:pPr>
          </w:p>
        </w:tc>
        <w:tc>
          <w:tcPr>
            <w:tcW w:w="2835" w:type="dxa"/>
            <w:noWrap w:val="0"/>
            <w:vAlign w:val="center"/>
          </w:tcPr>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5.参加政府采购活动前三年内，在经营活动中没有重大违法记录（注</w:t>
            </w:r>
            <w:r>
              <w:rPr>
                <w:rFonts w:hint="eastAsia" w:ascii="宋体" w:hAnsi="宋体" w:eastAsia="宋体" w:cs="宋体"/>
                <w:color w:val="auto"/>
                <w:kern w:val="0"/>
                <w:sz w:val="24"/>
                <w:szCs w:val="24"/>
              </w:rPr>
              <w:sym w:font="Wingdings" w:char="F082"/>
            </w:r>
            <w:r>
              <w:rPr>
                <w:rFonts w:hint="eastAsia" w:ascii="宋体" w:hAnsi="宋体" w:eastAsia="宋体" w:cs="宋体"/>
                <w:color w:val="auto"/>
                <w:sz w:val="21"/>
                <w:szCs w:val="21"/>
              </w:rPr>
              <w:t>）</w:t>
            </w:r>
          </w:p>
        </w:tc>
        <w:tc>
          <w:tcPr>
            <w:tcW w:w="5267" w:type="dxa"/>
            <w:vMerge w:val="continue"/>
            <w:noWrap w:val="0"/>
            <w:vAlign w:val="center"/>
          </w:tcPr>
          <w:p>
            <w:pP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5" w:hRule="atLeast"/>
        </w:trPr>
        <w:tc>
          <w:tcPr>
            <w:tcW w:w="817" w:type="dxa"/>
            <w:vMerge w:val="continue"/>
            <w:noWrap w:val="0"/>
            <w:vAlign w:val="center"/>
          </w:tcPr>
          <w:p>
            <w:pPr>
              <w:jc w:val="center"/>
              <w:rPr>
                <w:rFonts w:hint="eastAsia" w:ascii="宋体" w:hAnsi="宋体" w:eastAsia="宋体" w:cs="宋体"/>
                <w:color w:val="auto"/>
                <w:sz w:val="21"/>
                <w:szCs w:val="21"/>
              </w:rPr>
            </w:pPr>
          </w:p>
        </w:tc>
        <w:tc>
          <w:tcPr>
            <w:tcW w:w="709" w:type="dxa"/>
            <w:vMerge w:val="continue"/>
            <w:noWrap w:val="0"/>
            <w:vAlign w:val="center"/>
          </w:tcPr>
          <w:p>
            <w:pPr>
              <w:rPr>
                <w:rFonts w:hint="eastAsia" w:ascii="宋体" w:hAnsi="宋体" w:eastAsia="宋体" w:cs="宋体"/>
                <w:color w:val="auto"/>
                <w:sz w:val="21"/>
                <w:szCs w:val="21"/>
              </w:rPr>
            </w:pPr>
          </w:p>
        </w:tc>
        <w:tc>
          <w:tcPr>
            <w:tcW w:w="2835"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tc>
        <w:tc>
          <w:tcPr>
            <w:tcW w:w="5267" w:type="dxa"/>
            <w:noWrap w:val="0"/>
            <w:vAlign w:val="center"/>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5" w:hRule="atLeast"/>
        </w:trPr>
        <w:tc>
          <w:tcPr>
            <w:tcW w:w="817" w:type="dxa"/>
            <w:vMerge w:val="continue"/>
            <w:noWrap w:val="0"/>
            <w:vAlign w:val="center"/>
          </w:tcPr>
          <w:p>
            <w:pPr>
              <w:jc w:val="center"/>
              <w:rPr>
                <w:rFonts w:hint="eastAsia" w:ascii="宋体" w:hAnsi="宋体" w:eastAsia="宋体" w:cs="宋体"/>
                <w:color w:val="auto"/>
                <w:sz w:val="21"/>
                <w:szCs w:val="21"/>
              </w:rPr>
            </w:pPr>
          </w:p>
        </w:tc>
        <w:tc>
          <w:tcPr>
            <w:tcW w:w="709" w:type="dxa"/>
            <w:vMerge w:val="continue"/>
            <w:noWrap w:val="0"/>
            <w:vAlign w:val="center"/>
          </w:tcPr>
          <w:p>
            <w:pPr>
              <w:rPr>
                <w:rFonts w:hint="eastAsia" w:ascii="宋体" w:hAnsi="宋体" w:eastAsia="宋体" w:cs="宋体"/>
                <w:color w:val="auto"/>
                <w:sz w:val="21"/>
                <w:szCs w:val="21"/>
              </w:rPr>
            </w:pPr>
          </w:p>
        </w:tc>
        <w:tc>
          <w:tcPr>
            <w:tcW w:w="2835"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7.本项目的特定资格要求</w:t>
            </w:r>
          </w:p>
        </w:tc>
        <w:tc>
          <w:tcPr>
            <w:tcW w:w="5267" w:type="dxa"/>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按第一篇“三、供应商资格要求（</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）特定资格条件”的要求提交</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（二）</w:t>
            </w:r>
          </w:p>
        </w:tc>
        <w:tc>
          <w:tcPr>
            <w:tcW w:w="3544" w:type="dxa"/>
            <w:gridSpan w:val="2"/>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落实政府采购政策需满足的资格要求</w:t>
            </w:r>
          </w:p>
        </w:tc>
        <w:tc>
          <w:tcPr>
            <w:tcW w:w="5267"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按第一篇“三、供应商资格要求（二）落实政府采购政策需满足的资格要求”的要求提交</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w:t>
            </w:r>
          </w:p>
        </w:tc>
        <w:tc>
          <w:tcPr>
            <w:tcW w:w="3544" w:type="dxa"/>
            <w:gridSpan w:val="2"/>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保证金</w:t>
            </w:r>
          </w:p>
        </w:tc>
        <w:tc>
          <w:tcPr>
            <w:tcW w:w="5267"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按照</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文件要求足额交纳所参与包的保证金。</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color w:val="auto"/>
          <w:sz w:val="24"/>
        </w:rPr>
      </w:pPr>
      <w:r>
        <w:rPr>
          <w:rFonts w:hint="eastAsia" w:ascii="宋体" w:hAnsi="宋体" w:cs="宋体"/>
          <w:color w:val="auto"/>
          <w:sz w:val="24"/>
        </w:rPr>
        <w:t>注：</w:t>
      </w:r>
      <w:r>
        <w:rPr>
          <w:rFonts w:hint="eastAsia" w:ascii="方正仿宋_GBK" w:hAnsi="宋体" w:eastAsia="方正仿宋_GBK" w:cs="宋体"/>
          <w:color w:val="auto"/>
          <w:kern w:val="0"/>
          <w:sz w:val="24"/>
          <w:szCs w:val="24"/>
        </w:rPr>
        <w:sym w:font="Wingdings" w:char="F081"/>
      </w:r>
      <w:r>
        <w:rPr>
          <w:rFonts w:hint="eastAsia" w:ascii="宋体" w:hAnsi="宋体" w:cs="宋体"/>
          <w:color w:val="auto"/>
          <w:sz w:val="24"/>
        </w:rPr>
        <w:t>供应商按“多证合一”登记制度办理营业执照的，税务登记证（副本）和社会保险登记证以供应商所提供的营业执照（副本）复印件为准。</w:t>
      </w:r>
    </w:p>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color w:val="auto"/>
          <w:sz w:val="24"/>
        </w:rPr>
      </w:pPr>
      <w:r>
        <w:rPr>
          <w:rFonts w:hint="eastAsia" w:ascii="宋体" w:hAnsi="宋体" w:eastAsia="宋体" w:cs="宋体"/>
          <w:color w:val="auto"/>
          <w:kern w:val="0"/>
          <w:sz w:val="24"/>
          <w:szCs w:val="24"/>
        </w:rPr>
        <w:sym w:font="Wingdings" w:char="F082"/>
      </w:r>
      <w:r>
        <w:rPr>
          <w:rFonts w:hint="eastAsia" w:ascii="宋体" w:hAnsi="宋体" w:cs="宋体"/>
          <w:color w:val="auto"/>
          <w:sz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2"/>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2.3符合性检查。依据询价文件的规定，从响应文件的有效性、完整性和对询价文件的响应程度进行审查，以确定是否对询价文件的实质性要求作出响应。符合性检查资料表如下：</w:t>
      </w:r>
    </w:p>
    <w:p>
      <w:pPr>
        <w:pStyle w:val="2"/>
        <w:rPr>
          <w:rFonts w:hint="eastAsia" w:ascii="宋体" w:hAnsi="宋体" w:cs="宋体"/>
          <w:color w:val="auto"/>
        </w:rPr>
      </w:pP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3546" w:type="dxa"/>
            <w:gridSpan w:val="2"/>
            <w:noWrap w:val="0"/>
            <w:vAlign w:val="center"/>
          </w:tcPr>
          <w:p>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评审因素</w:t>
            </w:r>
          </w:p>
        </w:tc>
        <w:tc>
          <w:tcPr>
            <w:tcW w:w="5409" w:type="dxa"/>
            <w:noWrap w:val="0"/>
            <w:vAlign w:val="center"/>
          </w:tcPr>
          <w:p>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Merge w:val="restart"/>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w:t>
            </w:r>
          </w:p>
        </w:tc>
        <w:tc>
          <w:tcPr>
            <w:tcW w:w="1562" w:type="dxa"/>
            <w:vMerge w:val="restart"/>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有效性审查</w:t>
            </w:r>
          </w:p>
        </w:tc>
        <w:tc>
          <w:tcPr>
            <w:tcW w:w="1984"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响应文件签署</w:t>
            </w:r>
          </w:p>
        </w:tc>
        <w:tc>
          <w:tcPr>
            <w:tcW w:w="5409"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响应文件上法定代表人或其授权代表人的签字齐全。响应文件签字盖章齐全。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spacing w:line="360" w:lineRule="auto"/>
              <w:jc w:val="center"/>
              <w:rPr>
                <w:rFonts w:hint="eastAsia" w:ascii="宋体" w:hAnsi="宋体" w:cs="宋体"/>
                <w:color w:val="auto"/>
                <w:sz w:val="21"/>
                <w:szCs w:val="21"/>
              </w:rPr>
            </w:pPr>
          </w:p>
        </w:tc>
        <w:tc>
          <w:tcPr>
            <w:tcW w:w="1562" w:type="dxa"/>
            <w:vMerge w:val="continue"/>
            <w:noWrap w:val="0"/>
            <w:vAlign w:val="center"/>
          </w:tcPr>
          <w:p>
            <w:pPr>
              <w:spacing w:line="360" w:lineRule="auto"/>
              <w:rPr>
                <w:rFonts w:hint="eastAsia" w:ascii="宋体" w:hAnsi="宋体" w:cs="宋体"/>
                <w:color w:val="auto"/>
                <w:sz w:val="21"/>
                <w:szCs w:val="21"/>
              </w:rPr>
            </w:pPr>
          </w:p>
        </w:tc>
        <w:tc>
          <w:tcPr>
            <w:tcW w:w="1984" w:type="dxa"/>
            <w:noWrap w:val="0"/>
            <w:vAlign w:val="center"/>
          </w:tcPr>
          <w:p>
            <w:pPr>
              <w:spacing w:line="360" w:lineRule="auto"/>
              <w:rPr>
                <w:rFonts w:hint="eastAsia" w:ascii="宋体" w:hAnsi="宋体" w:cs="宋体"/>
                <w:color w:val="auto"/>
                <w:sz w:val="21"/>
                <w:szCs w:val="21"/>
                <w:lang w:val="zh-CN"/>
              </w:rPr>
            </w:pPr>
            <w:r>
              <w:rPr>
                <w:rFonts w:hint="eastAsia" w:ascii="宋体" w:hAnsi="宋体" w:cs="宋体"/>
                <w:color w:val="auto"/>
                <w:sz w:val="21"/>
                <w:szCs w:val="21"/>
                <w:lang w:val="zh-CN"/>
              </w:rPr>
              <w:t>响应方案</w:t>
            </w:r>
          </w:p>
        </w:tc>
        <w:tc>
          <w:tcPr>
            <w:tcW w:w="5409"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lang w:val="zh-CN"/>
              </w:rPr>
              <w:t>只能有一个方案响应。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5" w:type="dxa"/>
            <w:vMerge w:val="continue"/>
            <w:noWrap w:val="0"/>
            <w:vAlign w:val="center"/>
          </w:tcPr>
          <w:p>
            <w:pPr>
              <w:spacing w:line="360" w:lineRule="auto"/>
              <w:jc w:val="center"/>
              <w:rPr>
                <w:rFonts w:hint="eastAsia" w:ascii="宋体" w:hAnsi="宋体" w:cs="宋体"/>
                <w:color w:val="auto"/>
                <w:sz w:val="21"/>
                <w:szCs w:val="21"/>
              </w:rPr>
            </w:pPr>
          </w:p>
        </w:tc>
        <w:tc>
          <w:tcPr>
            <w:tcW w:w="1562" w:type="dxa"/>
            <w:vMerge w:val="continue"/>
            <w:noWrap w:val="0"/>
            <w:vAlign w:val="center"/>
          </w:tcPr>
          <w:p>
            <w:pPr>
              <w:spacing w:line="360" w:lineRule="auto"/>
              <w:rPr>
                <w:rFonts w:hint="eastAsia" w:ascii="宋体" w:hAnsi="宋体" w:cs="宋体"/>
                <w:color w:val="auto"/>
                <w:sz w:val="21"/>
                <w:szCs w:val="21"/>
              </w:rPr>
            </w:pPr>
          </w:p>
        </w:tc>
        <w:tc>
          <w:tcPr>
            <w:tcW w:w="1984" w:type="dxa"/>
            <w:noWrap w:val="0"/>
            <w:vAlign w:val="center"/>
          </w:tcPr>
          <w:p>
            <w:pPr>
              <w:spacing w:line="360" w:lineRule="auto"/>
              <w:rPr>
                <w:rFonts w:hint="eastAsia" w:ascii="宋体" w:hAnsi="宋体" w:cs="宋体"/>
                <w:color w:val="auto"/>
                <w:sz w:val="21"/>
                <w:szCs w:val="21"/>
                <w:lang w:val="zh-CN"/>
              </w:rPr>
            </w:pPr>
            <w:r>
              <w:rPr>
                <w:rFonts w:hint="eastAsia" w:ascii="宋体" w:hAnsi="宋体" w:cs="宋体"/>
                <w:color w:val="auto"/>
                <w:sz w:val="21"/>
                <w:szCs w:val="21"/>
              </w:rPr>
              <w:t>报价唯一</w:t>
            </w:r>
          </w:p>
        </w:tc>
        <w:tc>
          <w:tcPr>
            <w:tcW w:w="5409"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lang w:val="zh-CN"/>
              </w:rPr>
              <w:t>只能在预算金额和最高限价内报价，</w:t>
            </w:r>
            <w:r>
              <w:rPr>
                <w:rFonts w:hint="eastAsia" w:ascii="宋体" w:hAnsi="宋体" w:cs="宋体"/>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5" w:type="dxa"/>
            <w:vMerge w:val="restart"/>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2</w:t>
            </w:r>
          </w:p>
        </w:tc>
        <w:tc>
          <w:tcPr>
            <w:tcW w:w="1562" w:type="dxa"/>
            <w:vMerge w:val="restart"/>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完整性审查</w:t>
            </w:r>
          </w:p>
        </w:tc>
        <w:tc>
          <w:tcPr>
            <w:tcW w:w="1984"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lang w:val="zh-CN"/>
              </w:rPr>
              <w:t>响应文件份数</w:t>
            </w:r>
          </w:p>
        </w:tc>
        <w:tc>
          <w:tcPr>
            <w:tcW w:w="5409"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lang w:val="zh-CN"/>
              </w:rPr>
              <w:t>响应文件正、副本</w:t>
            </w:r>
            <w:r>
              <w:rPr>
                <w:rFonts w:hint="eastAsia" w:ascii="宋体" w:hAnsi="宋体" w:cs="宋体"/>
                <w:color w:val="auto"/>
                <w:sz w:val="21"/>
                <w:szCs w:val="21"/>
                <w:lang w:val="en-US" w:eastAsia="zh-CN"/>
              </w:rPr>
              <w:t>数量</w:t>
            </w:r>
            <w:r>
              <w:rPr>
                <w:rFonts w:hint="eastAsia" w:ascii="宋体" w:hAnsi="宋体" w:cs="宋体"/>
                <w:color w:val="auto"/>
                <w:sz w:val="21"/>
                <w:szCs w:val="21"/>
                <w:lang w:val="zh-CN"/>
              </w:rPr>
              <w:t>（含电子文档）符合询价文件要求。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Merge w:val="continue"/>
            <w:noWrap w:val="0"/>
            <w:vAlign w:val="center"/>
          </w:tcPr>
          <w:p>
            <w:pPr>
              <w:spacing w:line="360" w:lineRule="auto"/>
              <w:jc w:val="center"/>
              <w:rPr>
                <w:rFonts w:hint="eastAsia" w:ascii="宋体" w:hAnsi="宋体" w:cs="宋体"/>
                <w:color w:val="auto"/>
                <w:sz w:val="21"/>
                <w:szCs w:val="21"/>
              </w:rPr>
            </w:pPr>
          </w:p>
        </w:tc>
        <w:tc>
          <w:tcPr>
            <w:tcW w:w="1562" w:type="dxa"/>
            <w:vMerge w:val="continue"/>
            <w:noWrap w:val="0"/>
            <w:vAlign w:val="center"/>
          </w:tcPr>
          <w:p>
            <w:pPr>
              <w:spacing w:line="360" w:lineRule="auto"/>
              <w:rPr>
                <w:rFonts w:hint="eastAsia" w:ascii="宋体" w:hAnsi="宋体" w:cs="宋体"/>
                <w:color w:val="auto"/>
                <w:sz w:val="21"/>
                <w:szCs w:val="21"/>
              </w:rPr>
            </w:pPr>
          </w:p>
        </w:tc>
        <w:tc>
          <w:tcPr>
            <w:tcW w:w="1984"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响应文件内容</w:t>
            </w:r>
          </w:p>
        </w:tc>
        <w:tc>
          <w:tcPr>
            <w:tcW w:w="5409" w:type="dxa"/>
            <w:noWrap w:val="0"/>
            <w:vAlign w:val="center"/>
          </w:tcPr>
          <w:p>
            <w:pPr>
              <w:spacing w:line="360" w:lineRule="auto"/>
              <w:rPr>
                <w:rFonts w:hint="eastAsia" w:ascii="宋体" w:hAnsi="宋体" w:cs="宋体"/>
                <w:color w:val="auto"/>
                <w:sz w:val="21"/>
                <w:szCs w:val="21"/>
                <w:lang w:val="zh-CN"/>
              </w:rPr>
            </w:pPr>
            <w:r>
              <w:rPr>
                <w:rFonts w:hint="eastAsia" w:ascii="宋体" w:hAnsi="宋体" w:cs="宋体"/>
                <w:color w:val="auto"/>
                <w:sz w:val="21"/>
                <w:szCs w:val="21"/>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restart"/>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3</w:t>
            </w:r>
          </w:p>
        </w:tc>
        <w:tc>
          <w:tcPr>
            <w:tcW w:w="1562" w:type="dxa"/>
            <w:vMerge w:val="restart"/>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询价文件的响应程度审查</w:t>
            </w:r>
          </w:p>
        </w:tc>
        <w:tc>
          <w:tcPr>
            <w:tcW w:w="1984"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响应文件内容</w:t>
            </w:r>
          </w:p>
        </w:tc>
        <w:tc>
          <w:tcPr>
            <w:tcW w:w="5409"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对询价文件第一篇（资格要求除外）、第二篇和第三篇规定的采购内容全部作出响应。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5" w:type="dxa"/>
            <w:vMerge w:val="continue"/>
            <w:noWrap w:val="0"/>
            <w:vAlign w:val="center"/>
          </w:tcPr>
          <w:p>
            <w:pPr>
              <w:spacing w:line="360" w:lineRule="auto"/>
              <w:jc w:val="center"/>
              <w:rPr>
                <w:rFonts w:hint="eastAsia" w:ascii="宋体" w:hAnsi="宋体" w:cs="宋体"/>
                <w:color w:val="auto"/>
                <w:sz w:val="21"/>
                <w:szCs w:val="21"/>
              </w:rPr>
            </w:pPr>
          </w:p>
        </w:tc>
        <w:tc>
          <w:tcPr>
            <w:tcW w:w="1562" w:type="dxa"/>
            <w:vMerge w:val="continue"/>
            <w:noWrap w:val="0"/>
            <w:vAlign w:val="center"/>
          </w:tcPr>
          <w:p>
            <w:pPr>
              <w:spacing w:line="360" w:lineRule="auto"/>
              <w:rPr>
                <w:rFonts w:hint="eastAsia" w:ascii="宋体" w:hAnsi="宋体" w:cs="宋体"/>
                <w:color w:val="auto"/>
                <w:sz w:val="21"/>
                <w:szCs w:val="21"/>
              </w:rPr>
            </w:pPr>
          </w:p>
        </w:tc>
        <w:tc>
          <w:tcPr>
            <w:tcW w:w="1984"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技术部分</w:t>
            </w:r>
          </w:p>
        </w:tc>
        <w:tc>
          <w:tcPr>
            <w:tcW w:w="5409"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满足</w:t>
            </w:r>
            <w:r>
              <w:rPr>
                <w:rFonts w:hint="eastAsia" w:ascii="宋体" w:hAnsi="宋体" w:cs="宋体"/>
                <w:color w:val="auto"/>
                <w:sz w:val="21"/>
                <w:szCs w:val="21"/>
                <w:lang w:val="zh-CN"/>
              </w:rPr>
              <w:t>询价文件</w:t>
            </w:r>
            <w:r>
              <w:rPr>
                <w:rFonts w:hint="eastAsia" w:ascii="宋体" w:hAnsi="宋体" w:cs="宋体"/>
                <w:color w:val="auto"/>
                <w:sz w:val="21"/>
                <w:szCs w:val="21"/>
              </w:rPr>
              <w:t>提出的技术</w:t>
            </w:r>
            <w:r>
              <w:rPr>
                <w:rFonts w:hint="eastAsia" w:ascii="宋体" w:hAnsi="宋体" w:cs="宋体"/>
                <w:color w:val="auto"/>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Merge w:val="continue"/>
            <w:noWrap w:val="0"/>
            <w:vAlign w:val="center"/>
          </w:tcPr>
          <w:p>
            <w:pPr>
              <w:spacing w:line="360" w:lineRule="auto"/>
              <w:jc w:val="center"/>
              <w:rPr>
                <w:rFonts w:hint="eastAsia" w:ascii="宋体" w:hAnsi="宋体" w:cs="宋体"/>
                <w:color w:val="auto"/>
                <w:sz w:val="21"/>
                <w:szCs w:val="21"/>
              </w:rPr>
            </w:pPr>
          </w:p>
        </w:tc>
        <w:tc>
          <w:tcPr>
            <w:tcW w:w="1562" w:type="dxa"/>
            <w:vMerge w:val="continue"/>
            <w:noWrap w:val="0"/>
            <w:vAlign w:val="center"/>
          </w:tcPr>
          <w:p>
            <w:pPr>
              <w:spacing w:line="360" w:lineRule="auto"/>
              <w:rPr>
                <w:rFonts w:hint="eastAsia" w:ascii="宋体" w:hAnsi="宋体" w:cs="宋体"/>
                <w:color w:val="auto"/>
                <w:sz w:val="21"/>
                <w:szCs w:val="21"/>
              </w:rPr>
            </w:pPr>
          </w:p>
        </w:tc>
        <w:tc>
          <w:tcPr>
            <w:tcW w:w="1984"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商务部分</w:t>
            </w:r>
          </w:p>
        </w:tc>
        <w:tc>
          <w:tcPr>
            <w:tcW w:w="5409"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满足</w:t>
            </w:r>
            <w:r>
              <w:rPr>
                <w:rFonts w:hint="eastAsia" w:ascii="宋体" w:hAnsi="宋体" w:cs="宋体"/>
                <w:color w:val="auto"/>
                <w:sz w:val="21"/>
                <w:szCs w:val="21"/>
                <w:lang w:val="zh-CN"/>
              </w:rPr>
              <w:t>询价文件</w:t>
            </w:r>
            <w:r>
              <w:rPr>
                <w:rFonts w:hint="eastAsia" w:ascii="宋体" w:hAnsi="宋体" w:cs="宋体"/>
                <w:color w:val="auto"/>
                <w:sz w:val="21"/>
                <w:szCs w:val="21"/>
              </w:rPr>
              <w:t>提出的商务</w:t>
            </w:r>
            <w:r>
              <w:rPr>
                <w:rFonts w:hint="eastAsia" w:ascii="宋体" w:hAnsi="宋体" w:cs="宋体"/>
                <w:color w:val="auto"/>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75" w:type="dxa"/>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4</w:t>
            </w:r>
          </w:p>
        </w:tc>
        <w:tc>
          <w:tcPr>
            <w:tcW w:w="1562"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询价有效期</w:t>
            </w:r>
          </w:p>
        </w:tc>
        <w:tc>
          <w:tcPr>
            <w:tcW w:w="1984"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响应文件内容</w:t>
            </w:r>
          </w:p>
        </w:tc>
        <w:tc>
          <w:tcPr>
            <w:tcW w:w="5409" w:type="dxa"/>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询价有效期为响应文件递交截止日期后九十天内。</w:t>
            </w:r>
          </w:p>
        </w:tc>
      </w:tr>
    </w:tbl>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二）澄清有关问题：对响应文件中含义不明确、同类问题表述不一致或者有明显文字和计算错误的内容，询价小组可以书面形式（应当由询价小组成员签字）要求供应商作出必要澄清、说明或者纠正。供应商的澄清、说明或者补正应当采用书面形式，由其法定代表人或法定代表人授权代表签字，其澄清的内容不得超出响应文件的范围或者改变响应文件的实质性内容。</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（三）比较与评价：按询价文件中规定的评审方法和标准，对资格审查和符合性审查合格的响应文件进行商务和技术评估。</w:t>
      </w:r>
    </w:p>
    <w:p>
      <w:pPr>
        <w:pStyle w:val="4"/>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b w:val="0"/>
          <w:color w:val="auto"/>
          <w:sz w:val="24"/>
          <w:szCs w:val="24"/>
        </w:rPr>
      </w:pPr>
      <w:bookmarkStart w:id="22" w:name="_Toc492721017"/>
      <w:bookmarkStart w:id="23" w:name="_Toc496613371"/>
      <w:bookmarkStart w:id="24" w:name="_Toc267320057"/>
      <w:r>
        <w:rPr>
          <w:rFonts w:hint="eastAsia" w:ascii="宋体" w:hAnsi="宋体" w:cs="宋体"/>
          <w:b w:val="0"/>
          <w:color w:val="auto"/>
          <w:sz w:val="24"/>
          <w:szCs w:val="24"/>
        </w:rPr>
        <w:t>七、</w:t>
      </w:r>
      <w:bookmarkEnd w:id="22"/>
      <w:bookmarkEnd w:id="23"/>
      <w:bookmarkEnd w:id="24"/>
      <w:r>
        <w:rPr>
          <w:rFonts w:hint="eastAsia" w:ascii="宋体" w:hAnsi="宋体" w:cs="宋体"/>
          <w:b w:val="0"/>
          <w:color w:val="auto"/>
          <w:sz w:val="24"/>
          <w:szCs w:val="24"/>
        </w:rPr>
        <w:t>询价依据及政策性扣减</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1.、“第二篇 询价采购项目技术需求” 有一条及以上不能满足询价文件要求的，为无效响应；</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2、“第三篇 询价采购项目商务要求”有一条及以上不能满足询价文件要求的，为无效响应；</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color w:val="auto"/>
          <w:sz w:val="24"/>
          <w:szCs w:val="24"/>
        </w:rPr>
      </w:pPr>
      <w:r>
        <w:rPr>
          <w:rFonts w:hint="eastAsia" w:ascii="宋体" w:hAnsi="宋体" w:cs="宋体"/>
          <w:color w:val="auto"/>
          <w:sz w:val="24"/>
          <w:szCs w:val="24"/>
        </w:rPr>
        <w:t>3、</w:t>
      </w:r>
      <w:r>
        <w:rPr>
          <w:rFonts w:hint="eastAsia"/>
          <w:color w:val="auto"/>
          <w:sz w:val="24"/>
          <w:szCs w:val="24"/>
        </w:rPr>
        <w:t>关于小微企业报价扣除比例说明</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color w:val="auto"/>
          <w:sz w:val="24"/>
          <w:szCs w:val="24"/>
        </w:rPr>
      </w:pPr>
      <w:r>
        <w:rPr>
          <w:rFonts w:hint="eastAsia"/>
          <w:color w:val="auto"/>
          <w:sz w:val="24"/>
          <w:szCs w:val="24"/>
        </w:rPr>
        <w:t>（1）对小微型企业给予 6 %的扣除，以扣除后的报价参与评审。</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color w:val="auto"/>
          <w:sz w:val="20"/>
        </w:rPr>
      </w:pPr>
      <w:r>
        <w:rPr>
          <w:rFonts w:hint="eastAsia"/>
          <w:color w:val="auto"/>
          <w:sz w:val="24"/>
          <w:szCs w:val="24"/>
        </w:rPr>
        <w:t>（2）监狱企业、残疾人福利性单位视同小型、微型企业。</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rPr>
      </w:pPr>
      <w:r>
        <w:rPr>
          <w:rFonts w:hint="eastAsia" w:ascii="宋体" w:hAnsi="宋体" w:cs="宋体"/>
          <w:color w:val="auto"/>
          <w:sz w:val="24"/>
          <w:szCs w:val="24"/>
        </w:rPr>
        <w:t>（3）监狱企业、残疾人福利性单位属于微型企业的，应提供中小企业声明函（详见“第六篇”“一、经济文件”“其他”“中小微企业声明函”）。未提供以上资料的监狱企业、残疾人福利性单位视同小型企业。</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询价小组认为，排名在前面的成交候选人的响应总报价或者某些分项报价明显不合理或者低于成本，有可能影响服务质量和不能诚信履约的，将要求其在规定的期限内提供书面文件予以解释说明，并提交相关证明材料；否则，询价小组可以取消该成交候选人资格，按顺序由排在后一位的成交候选人递补，以此类推。</w:t>
      </w:r>
    </w:p>
    <w:p>
      <w:pPr>
        <w:pStyle w:val="4"/>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b w:val="0"/>
          <w:color w:val="auto"/>
          <w:sz w:val="24"/>
          <w:szCs w:val="24"/>
        </w:rPr>
      </w:pPr>
      <w:bookmarkStart w:id="25" w:name="_Toc496613372"/>
      <w:bookmarkStart w:id="26" w:name="_Toc492721018"/>
      <w:r>
        <w:rPr>
          <w:rFonts w:hint="eastAsia" w:ascii="宋体" w:hAnsi="宋体" w:cs="宋体"/>
          <w:b w:val="0"/>
          <w:color w:val="auto"/>
          <w:sz w:val="24"/>
          <w:szCs w:val="24"/>
        </w:rPr>
        <w:t>八、无效响应条款</w:t>
      </w:r>
      <w:bookmarkEnd w:id="25"/>
      <w:bookmarkEnd w:id="26"/>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bookmarkStart w:id="27" w:name="_Toc492721019"/>
      <w:bookmarkStart w:id="28" w:name="_Toc496613373"/>
      <w:r>
        <w:rPr>
          <w:rFonts w:hint="eastAsia" w:ascii="宋体" w:hAnsi="宋体" w:cs="宋体"/>
          <w:color w:val="auto"/>
          <w:sz w:val="24"/>
          <w:szCs w:val="24"/>
        </w:rPr>
        <w:t>供应商发生以下条款情况之一者，视为无效响应，其响应文件将被拒绝：</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（一）供应商不符合规定的基本资格条件的；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（二）供应商未按本询价文件格式、顺序密封响应文件或未按询价文件规定提交足额询价保证金的；</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1"/>
        <w:rPr>
          <w:rFonts w:hint="eastAsia" w:ascii="宋体" w:hAnsi="宋体" w:cs="宋体"/>
          <w:color w:val="auto"/>
          <w:sz w:val="24"/>
          <w:szCs w:val="24"/>
        </w:rPr>
      </w:pPr>
      <w:r>
        <w:rPr>
          <w:rFonts w:hint="eastAsia" w:ascii="宋体" w:hAnsi="宋体" w:cs="宋体"/>
          <w:color w:val="auto"/>
          <w:sz w:val="24"/>
          <w:szCs w:val="24"/>
        </w:rPr>
        <w:t>（三）供应商未通过资格性检查或响应文件未通过符合性检查的；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（四）未按照询价文件的规定提交询价保证金的；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（五）响应总报价和单价报价超过询价文件中规定的最高限价的；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（六）供应商的法定代表人或其授权代表未参加采购活动；</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（七）供应商所提交的响应文件不按第六篇“响应文件编制要求”规定签字、盖章；</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（八）供应商的最后报价超过采购预算的；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（九）法定代表人为同一个人的两个及两个以上法人，母公司、全资子公司及其控股公司，在同一分包采购中同时参与响应；</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（十）单位负责人为同一人或者存在直接控股、管理关系的不同供应商，参加同一合同项下的政府采购活动的；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（十一）为采购项目提供整体设计、规范编制或者项目管理、监理、检测等服务的供应商，再参加该采购项目的其他采购活动；</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（十二）供应商的交货期、报价要求及询价有效期不满足询价文件要求的；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（十三）供应商响应文件内容有与国家现行法律法规相违背的内容，或附有采购人无法接受的条件。</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（十四）供应商被列入失信被执行人、重大税收违法案件当事人名单、政府采购严重违法失信行为记录名单及其他不符合《中华人民共和国政府采购法》第二十二条规定条件的。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十五）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（十六）供应商组成联合体响应的；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（十七）供应商串通响应的；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（十八）法律、法规和询价文件规定的其他无效情形。</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（十九）负偏离和不响应询价文件的。</w:t>
      </w:r>
      <w:r>
        <w:rPr>
          <w:rFonts w:hint="eastAsia" w:ascii="宋体" w:hAnsi="宋体" w:cs="宋体"/>
          <w:color w:val="auto"/>
          <w:sz w:val="24"/>
          <w:szCs w:val="24"/>
        </w:rPr>
        <w:tab/>
      </w:r>
    </w:p>
    <w:p>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九、</w:t>
      </w:r>
      <w:bookmarkEnd w:id="27"/>
      <w:bookmarkEnd w:id="28"/>
      <w:r>
        <w:rPr>
          <w:rFonts w:hint="eastAsia" w:ascii="宋体" w:hAnsi="宋体" w:cs="宋体"/>
          <w:b/>
          <w:color w:val="auto"/>
          <w:sz w:val="24"/>
          <w:szCs w:val="24"/>
        </w:rPr>
        <w:t>采购终止</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出现下列情形之一的，采购人或者采购代理机构应当终止询价采购活动，发布项目终止公告并说明原因，重新开展采购活动：</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（一）因情况变化，不再符合规定的询价采购方式适用情形的；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（二）出现影响采购公正的违法、违规行为的；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rPr>
      </w:pPr>
      <w:r>
        <w:rPr>
          <w:rFonts w:hint="eastAsia" w:ascii="宋体" w:hAnsi="宋体" w:cs="宋体"/>
          <w:color w:val="auto"/>
          <w:sz w:val="24"/>
          <w:szCs w:val="24"/>
        </w:rPr>
        <w:t>（三）在采购过程中符合竞争要求的供应商或者报价未超过采购预算的供应商不足3家的。</w:t>
      </w:r>
    </w:p>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十、成交通知书</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（一）采购人依法确定成交供应商后，成交供应商7日内领取成交通知书，否则按放弃成交处理。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（二）成交通知书发出后，采购人改变成交结果，或者成交供应商放弃成交，应当承担相应的法律责任。</w:t>
      </w:r>
    </w:p>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 xml:space="preserve">  十一、履约保证金</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（一）成交供应商在中标公示结束后5个工作日内向采购人提交履约保证金。</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（二）履约保证金金额为合同金额的</w:t>
      </w:r>
      <w:r>
        <w:rPr>
          <w:rFonts w:hint="eastAsia" w:ascii="宋体" w:hAnsi="宋体" w:cs="宋体"/>
          <w:color w:val="auto"/>
          <w:sz w:val="24"/>
          <w:szCs w:val="22"/>
          <w:lang w:val="en-US" w:eastAsia="zh-CN"/>
        </w:rPr>
        <w:t>5</w:t>
      </w:r>
      <w:r>
        <w:rPr>
          <w:rFonts w:hint="eastAsia" w:ascii="宋体" w:hAnsi="宋体" w:cs="宋体"/>
          <w:color w:val="auto"/>
          <w:sz w:val="24"/>
          <w:szCs w:val="22"/>
        </w:rPr>
        <w:t>%。</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rPr>
        <w:t>（三）</w:t>
      </w:r>
      <w:r>
        <w:rPr>
          <w:rFonts w:hint="eastAsia" w:ascii="宋体" w:hAnsi="宋体" w:cs="宋体"/>
          <w:color w:val="auto"/>
          <w:sz w:val="24"/>
          <w:szCs w:val="22"/>
        </w:rPr>
        <w:t>履约保证金交纳后，成交供应商才可与采购人签订合同。逾期或不按询价文件约定提交的，视为该供应商放弃成交，并按相关法律法规承担相应法律责任。</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（四）履约保证金在合同履行满后30日内一次性按来款渠道全额退还。</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bookmarkStart w:id="29" w:name="_Toc21668"/>
      <w:bookmarkStart w:id="30" w:name="_Toc10362"/>
      <w:bookmarkStart w:id="31" w:name="_Toc20237"/>
      <w:r>
        <w:rPr>
          <w:rFonts w:hint="eastAsia" w:ascii="宋体" w:hAnsi="宋体" w:cs="宋体"/>
          <w:color w:val="auto"/>
          <w:sz w:val="24"/>
          <w:szCs w:val="22"/>
        </w:rPr>
        <w:t>（五）履约保证金的交纳方式：成交供应商</w:t>
      </w:r>
      <w:r>
        <w:rPr>
          <w:rFonts w:hint="eastAsia" w:ascii="宋体" w:hAnsi="宋体" w:cs="宋体"/>
          <w:color w:val="auto"/>
          <w:sz w:val="24"/>
          <w:szCs w:val="22"/>
          <w:lang w:val="en-US" w:eastAsia="zh-CN"/>
        </w:rPr>
        <w:t>以现金或非现金的方式向采购人缴纳</w:t>
      </w:r>
      <w:r>
        <w:rPr>
          <w:rFonts w:hint="eastAsia" w:ascii="宋体" w:hAnsi="宋体" w:cs="宋体"/>
          <w:color w:val="auto"/>
          <w:sz w:val="24"/>
          <w:szCs w:val="22"/>
        </w:rPr>
        <w:t>。</w:t>
      </w:r>
      <w:bookmarkEnd w:id="29"/>
      <w:bookmarkEnd w:id="30"/>
      <w:bookmarkEnd w:id="31"/>
    </w:p>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szCs w:val="22"/>
        </w:rPr>
      </w:pPr>
      <w:r>
        <w:rPr>
          <w:rFonts w:hint="eastAsia" w:ascii="宋体" w:hAnsi="宋体" w:cs="宋体"/>
          <w:b/>
          <w:color w:val="auto"/>
          <w:sz w:val="24"/>
          <w:szCs w:val="22"/>
        </w:rPr>
        <w:t>十二、质疑和投诉</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（一）质疑</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供应商认为采购文件、采购过程和成交结果使自己的权益收到伤害的，可向采购人或采购代理机构以书面形式提出质疑。</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 xml:space="preserve">提出质疑的应当是参与所质疑项目采购活动的供应商。 </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1.质疑时限、内容</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2"/>
        </w:rPr>
      </w:pPr>
      <w:r>
        <w:rPr>
          <w:rFonts w:hint="eastAsia" w:ascii="宋体" w:hAnsi="宋体" w:cs="宋体"/>
          <w:color w:val="auto"/>
          <w:sz w:val="24"/>
          <w:szCs w:val="22"/>
        </w:rPr>
        <w:t>1.1供应商认为采购文件、采购过程、成交结果使自己的权益受到损害的，可以在知道或者应知其权益受到损害之日起7个工作日内，以书面形式向采购人、采购代理机构提出质疑。</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1.2供应商提出质疑应当提交质疑函和必要的证明材料，质疑函应当包括下列内容：</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1.2.1供应商的姓名或者名称、地址、邮编、联系人及联系电话；</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1.2.2质疑项目的名称以及项目编号；</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1.2.3具体、明确的质疑事项和与质疑事项相关的请求；</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1.2.4事实依据；</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1.2.5必要的法律依据；</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1.2.6提出质疑的日期；</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1.2.7营业执照（或事业单位法人证书，或个体工商户营业执照或有效的自然人身份证明、组织机构代码证）复印件；</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1.2.8法定代表人授权委托书原件、法定代表人身份证复印件和其授权代表的身份证复印件（供应商为自然人的提供自然人身份证复印件）；</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1.3供应商为自然人的，质疑函应当由本人签字；供应商为法人或者其他组织的，质疑函应当由法定代表人、主要负责人，或者其授权代表签字或者盖章，并加盖公章。</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2.质疑答复</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采购人、采购代理机构应当在收到供应商的书面质疑后七个工作日内作出答复，并以书面形式通知质疑供应商和其他有关供应商。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3.其他</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3.1供应商应按照《政府采购质疑和投诉办法》（财政部令第94号）及相关法律法规要求，在法定质疑期内一次性提出针对同一采购程序环节的质疑。</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3.2质疑函范本可在财政部门户网站和中国政府采购网下载。</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3.3.对询价文件所作的一切澄清、修改及补充，在</w:t>
      </w:r>
      <w:r>
        <w:rPr>
          <w:rFonts w:hint="eastAsia" w:ascii="宋体" w:hAnsi="宋体" w:eastAsia="宋体" w:cs="宋体"/>
          <w:color w:val="auto"/>
          <w:kern w:val="21"/>
          <w:sz w:val="24"/>
          <w:szCs w:val="24"/>
        </w:rPr>
        <w:t>“重庆市梁平区卫生健康委员会（http://www.cqlp.gov.cn/wsjkw/）或</w:t>
      </w:r>
      <w:r>
        <w:rPr>
          <w:rFonts w:hint="eastAsia" w:ascii="宋体" w:hAnsi="宋体" w:eastAsia="宋体" w:cs="宋体"/>
          <w:color w:val="auto"/>
          <w:kern w:val="21"/>
          <w:sz w:val="24"/>
          <w:szCs w:val="24"/>
          <w:lang w:eastAsia="zh-CN"/>
        </w:rPr>
        <w:t>在</w:t>
      </w:r>
      <w:r>
        <w:rPr>
          <w:rFonts w:hint="eastAsia" w:ascii="宋体" w:hAnsi="宋体" w:eastAsia="宋体" w:cs="宋体"/>
          <w:color w:val="auto"/>
          <w:kern w:val="21"/>
          <w:sz w:val="24"/>
          <w:szCs w:val="24"/>
        </w:rPr>
        <w:t>重庆市梁平区疾病预防控制中心张贴栏</w:t>
      </w:r>
      <w:r>
        <w:rPr>
          <w:rFonts w:hint="eastAsia" w:ascii="宋体" w:hAnsi="宋体" w:eastAsia="宋体" w:cs="宋体"/>
          <w:color w:val="auto"/>
          <w:kern w:val="21"/>
          <w:sz w:val="24"/>
          <w:szCs w:val="24"/>
          <w:lang w:eastAsia="zh-CN"/>
        </w:rPr>
        <w:t>”</w:t>
      </w:r>
      <w:r>
        <w:rPr>
          <w:rFonts w:hint="eastAsia" w:ascii="宋体" w:hAnsi="宋体" w:cs="宋体"/>
          <w:color w:val="auto"/>
          <w:sz w:val="24"/>
          <w:szCs w:val="24"/>
        </w:rPr>
        <w:t>发布，是询价文件不可分割的部分。当询价文件、询价文件澄清、修改内容相互矛盾时，以最后发出的澄清、修改及补充文件为准。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（二）投诉</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1.供应商对采购人、采购代理机构的答复不满意，或者采购人、采购代理机构未在规定时间内作出答复的，可以在答复期满后15个工作日内按照相关法律法规向财政部门提起投诉。</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2.供应商应按照《政府采购质疑和投诉办法》（财政部令第94号）及相关法律法规要求递交投诉书和必要的证明材料。投诉书范本可在财政部门户网站和中国政府采购网下载。</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rPr>
      </w:pPr>
      <w:r>
        <w:rPr>
          <w:rFonts w:hint="eastAsia" w:ascii="宋体" w:hAnsi="宋体" w:cs="宋体"/>
          <w:color w:val="auto"/>
          <w:sz w:val="24"/>
          <w:szCs w:val="24"/>
        </w:rPr>
        <w:t>4.在确定受理投诉后，财政部门自受理投诉之日起30个工作日内（需要检验、检测、鉴定、专家评审以及需要投诉人补正材料的，所需时间不计算在投诉处理期限内）对投诉事项做出处理决定。</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（三）不予受理或暂缓受理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1、质疑有下列情形之一的，不予受理：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1.1质疑供应商参与了询价活动后，再对询价文件内容提出质疑的；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1.2质疑超过有效期的；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1.3对同一事项重复质疑的。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2、质疑有下列情形之一的，应暂不受理并告知供应商补充材料。供应商及时补充材料的，应予受理；逾期未补充的，不予受理：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2.1质疑书格式和内容不符合国家或重庆市相关规定的；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2.2质疑书提供的依据或证明材料不全的；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2.3质疑书副本数量不足的。</w:t>
      </w:r>
    </w:p>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十三、采购代理服务费</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color w:val="auto"/>
          <w:sz w:val="24"/>
        </w:rPr>
      </w:pPr>
      <w:r>
        <w:rPr>
          <w:rFonts w:hint="eastAsia"/>
          <w:color w:val="auto"/>
          <w:sz w:val="24"/>
        </w:rPr>
        <w:t>（一）</w:t>
      </w:r>
      <w:r>
        <w:rPr>
          <w:color w:val="auto"/>
          <w:sz w:val="24"/>
        </w:rPr>
        <w:t>中标人须在公示期满3日内到招标代理机构缴纳</w:t>
      </w:r>
      <w:r>
        <w:rPr>
          <w:rFonts w:hint="eastAsia"/>
          <w:color w:val="auto"/>
          <w:sz w:val="24"/>
        </w:rPr>
        <w:t>采购</w:t>
      </w:r>
      <w:r>
        <w:rPr>
          <w:color w:val="auto"/>
          <w:sz w:val="24"/>
        </w:rPr>
        <w:t>代理服务费，代理服务费</w:t>
      </w:r>
      <w:r>
        <w:rPr>
          <w:rFonts w:hint="eastAsia"/>
          <w:color w:val="auto"/>
          <w:sz w:val="24"/>
          <w:lang w:val="en-US" w:eastAsia="zh-CN"/>
        </w:rPr>
        <w:t>按</w:t>
      </w:r>
      <w:r>
        <w:rPr>
          <w:rFonts w:hint="eastAsia"/>
          <w:color w:val="auto"/>
          <w:sz w:val="24"/>
          <w:u w:val="single" w:color="auto"/>
          <w:lang w:val="en-US" w:eastAsia="zh-CN"/>
        </w:rPr>
        <w:t xml:space="preserve"> 9000.00元 </w:t>
      </w:r>
      <w:r>
        <w:rPr>
          <w:rFonts w:hint="eastAsia"/>
          <w:color w:val="auto"/>
          <w:sz w:val="24"/>
          <w:u w:val="none" w:color="auto"/>
          <w:lang w:val="en-US" w:eastAsia="zh-CN"/>
        </w:rPr>
        <w:t>包干计取</w:t>
      </w:r>
      <w:r>
        <w:rPr>
          <w:rFonts w:ascii="宋体"/>
          <w:color w:val="auto"/>
          <w:sz w:val="24"/>
          <w:szCs w:val="22"/>
        </w:rPr>
        <w:t>。</w:t>
      </w:r>
      <w:r>
        <w:rPr>
          <w:color w:val="auto"/>
          <w:sz w:val="24"/>
        </w:rPr>
        <w:t>中标人应在领取中标通知书时一次性向</w:t>
      </w:r>
      <w:r>
        <w:rPr>
          <w:rFonts w:hint="eastAsia"/>
          <w:color w:val="auto"/>
          <w:sz w:val="24"/>
        </w:rPr>
        <w:t>采购</w:t>
      </w:r>
      <w:r>
        <w:rPr>
          <w:color w:val="auto"/>
          <w:sz w:val="24"/>
        </w:rPr>
        <w:t>代理机构缴纳代理服务费。</w:t>
      </w:r>
    </w:p>
    <w:p>
      <w:pPr>
        <w:pageBreakBefore w:val="0"/>
        <w:widowControl w:val="0"/>
        <w:kinsoku/>
        <w:wordWrap/>
        <w:overflowPunct/>
        <w:topLinePunct w:val="0"/>
        <w:autoSpaceDE/>
        <w:autoSpaceDN/>
        <w:bidi w:val="0"/>
        <w:adjustRightInd/>
        <w:spacing w:line="400" w:lineRule="exact"/>
        <w:ind w:firstLine="480" w:firstLineChars="200"/>
        <w:textAlignment w:val="auto"/>
        <w:rPr>
          <w:color w:val="auto"/>
          <w:sz w:val="24"/>
        </w:rPr>
      </w:pPr>
      <w:r>
        <w:rPr>
          <w:color w:val="auto"/>
          <w:sz w:val="24"/>
        </w:rPr>
        <w:t xml:space="preserve">（二）采购代理服务费标准参考下表: </w:t>
      </w:r>
      <w:r>
        <w:rPr>
          <w:b/>
          <w:color w:val="auto"/>
          <w:sz w:val="24"/>
        </w:rPr>
        <w:t>（采购代理服务费应按招标文件约定收取，并在招标文件中公开收取标准）</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noWrap w:val="0"/>
            <w:vAlign w:val="top"/>
          </w:tcPr>
          <w:p>
            <w:pPr>
              <w:spacing w:line="240" w:lineRule="atLeast"/>
              <w:jc w:val="right"/>
              <w:rPr>
                <w:color w:val="auto"/>
                <w:sz w:val="21"/>
                <w:szCs w:val="21"/>
              </w:rPr>
            </w:pPr>
            <w:r>
              <w:rPr>
                <w:color w:val="auto"/>
                <w:sz w:val="21"/>
                <w:szCs w:val="21"/>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4"/>
                      <wp:cNvGraphicFramePr/>
                      <a:graphic xmlns:a="http://schemas.openxmlformats.org/drawingml/2006/main">
                        <a:graphicData uri="http://schemas.microsoft.com/office/word/2010/wordprocessingShape">
                          <wps:wsp>
                            <wps:cNvSp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9pt;margin-top:-0.5pt;height:0.05pt;width:0.05pt;z-index:251658240;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COWUefiAQAA2QMAAA4AAABkcnMvZTJvRG9jLnhtbK1TS44T&#10;MRDdI3EHy3vSSWBG0EpnFoRhg2CkGQ5Q8afbkn9yOenkLFyDFRuOM9eg7A4ZGDZZ0At3uVz1XO9V&#10;eXVzcJbtVUITfMcXszlnyosgje87/vXh9tVbzjCDl2CDVx0/KuQ365cvVmNs1TIMwUqVGIF4bMfY&#10;8SHn2DYNikE5wFmIytOhDslBpm3qG5lgJHRnm+V8ft2MIcmYglCI5N1Mh/yEmC4BDFoboTZB7Jzy&#10;eUJNykImSjiYiHxdq9VaifxFa1SZ2Y4T01xXuoTsbVmb9QraPkEcjDiVAJeU8IyTA+Pp0jPUBjKw&#10;XTL/QDkjUsCg80wE10xEqiLEYjF/ps39AFFVLiQ1xrPo+P9gxef9XWJG0iRw5sFRwx+/fX/88ZO9&#10;KdqMEVsKuY936bRDMgvRg06u/IkCO1Q9j2c91SEzQc7r11ecCfIXg/Kbp7SYMH9UwbFidNwaX4hC&#10;C/tPmKfQ3yHFbT0bO/7ualkAgaZOU7fJdJEqR9/XXAzWyFtjbcnA1G/f28T2UDpfv1MJf4WVSzaA&#10;wxRXj0oYtIMC+cFLlo+RNPH0FHgpwSnJmVX0copVIzMYe0kksbeeRCiaTioWaxvkkTqwi8n0Aymx&#10;qFWWE+p4lew0nWWk/txXpKcXuf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75g9YAAAAIAQAA&#10;DwAAAAAAAAABACAAAAAiAAAAZHJzL2Rvd25yZXYueG1sUEsBAhQAFAAAAAgAh07iQCOWUefiAQAA&#10;2QMAAA4AAAAAAAAAAQAgAAAAJQEAAGRycy9lMm9Eb2MueG1sUEsFBgAAAAAGAAYAWQEAAHkFAAAA&#10;AA==&#10;">
                      <v:fill on="f" focussize="0,0"/>
                      <v:stroke color="#000000" joinstyle="round"/>
                      <v:imagedata o:title=""/>
                      <o:lock v:ext="edit" aspectratio="f"/>
                    </v:line>
                  </w:pict>
                </mc:Fallback>
              </mc:AlternateContent>
            </w:r>
            <w:r>
              <w:rPr>
                <w:color w:val="auto"/>
                <w:sz w:val="21"/>
                <w:szCs w:val="21"/>
              </w:rPr>
              <w:t>招标类型</w:t>
            </w:r>
          </w:p>
          <w:p>
            <w:pPr>
              <w:spacing w:line="240" w:lineRule="atLeast"/>
              <w:rPr>
                <w:color w:val="auto"/>
                <w:sz w:val="21"/>
                <w:szCs w:val="21"/>
              </w:rPr>
            </w:pPr>
            <w:r>
              <w:rPr>
                <w:color w:val="auto"/>
                <w:sz w:val="21"/>
                <w:szCs w:val="21"/>
              </w:rPr>
              <w:t>金额（万元）</w:t>
            </w:r>
          </w:p>
        </w:tc>
        <w:tc>
          <w:tcPr>
            <w:tcW w:w="2273" w:type="dxa"/>
            <w:noWrap w:val="0"/>
            <w:vAlign w:val="center"/>
          </w:tcPr>
          <w:p>
            <w:pPr>
              <w:spacing w:line="240" w:lineRule="atLeast"/>
              <w:jc w:val="center"/>
              <w:rPr>
                <w:color w:val="auto"/>
                <w:sz w:val="21"/>
                <w:szCs w:val="21"/>
              </w:rPr>
            </w:pPr>
            <w:r>
              <w:rPr>
                <w:color w:val="auto"/>
                <w:sz w:val="21"/>
                <w:szCs w:val="21"/>
              </w:rPr>
              <w:t>货物招标</w:t>
            </w:r>
          </w:p>
        </w:tc>
        <w:tc>
          <w:tcPr>
            <w:tcW w:w="2273" w:type="dxa"/>
            <w:noWrap w:val="0"/>
            <w:vAlign w:val="center"/>
          </w:tcPr>
          <w:p>
            <w:pPr>
              <w:spacing w:line="240" w:lineRule="atLeast"/>
              <w:jc w:val="center"/>
              <w:rPr>
                <w:color w:val="auto"/>
                <w:sz w:val="21"/>
                <w:szCs w:val="21"/>
              </w:rPr>
            </w:pPr>
            <w:r>
              <w:rPr>
                <w:color w:val="auto"/>
                <w:sz w:val="21"/>
                <w:szCs w:val="21"/>
              </w:rPr>
              <w:t>服务招标</w:t>
            </w:r>
          </w:p>
        </w:tc>
        <w:tc>
          <w:tcPr>
            <w:tcW w:w="2272" w:type="dxa"/>
            <w:noWrap w:val="0"/>
            <w:vAlign w:val="center"/>
          </w:tcPr>
          <w:p>
            <w:pPr>
              <w:pStyle w:val="149"/>
              <w:widowControl w:val="0"/>
              <w:spacing w:line="240" w:lineRule="atLeast"/>
              <w:rPr>
                <w:rFonts w:ascii="Times New Roman"/>
                <w:color w:val="auto"/>
                <w:kern w:val="2"/>
                <w:sz w:val="21"/>
                <w:szCs w:val="21"/>
              </w:rPr>
            </w:pPr>
            <w:r>
              <w:rPr>
                <w:rFonts w:ascii="Times New Roman"/>
                <w:color w:val="auto"/>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pPr>
              <w:spacing w:line="240" w:lineRule="atLeast"/>
              <w:jc w:val="center"/>
              <w:rPr>
                <w:color w:val="auto"/>
                <w:sz w:val="21"/>
                <w:szCs w:val="21"/>
              </w:rPr>
            </w:pPr>
            <w:r>
              <w:rPr>
                <w:color w:val="auto"/>
                <w:sz w:val="21"/>
                <w:szCs w:val="21"/>
              </w:rPr>
              <w:t>100以下</w:t>
            </w:r>
          </w:p>
        </w:tc>
        <w:tc>
          <w:tcPr>
            <w:tcW w:w="2273" w:type="dxa"/>
            <w:noWrap w:val="0"/>
            <w:vAlign w:val="center"/>
          </w:tcPr>
          <w:p>
            <w:pPr>
              <w:spacing w:line="240" w:lineRule="atLeast"/>
              <w:jc w:val="center"/>
              <w:rPr>
                <w:color w:val="auto"/>
                <w:sz w:val="21"/>
                <w:szCs w:val="21"/>
              </w:rPr>
            </w:pPr>
            <w:r>
              <w:rPr>
                <w:color w:val="auto"/>
                <w:sz w:val="21"/>
                <w:szCs w:val="21"/>
              </w:rPr>
              <w:t>1.5%</w:t>
            </w:r>
          </w:p>
        </w:tc>
        <w:tc>
          <w:tcPr>
            <w:tcW w:w="2273" w:type="dxa"/>
            <w:noWrap w:val="0"/>
            <w:vAlign w:val="center"/>
          </w:tcPr>
          <w:p>
            <w:pPr>
              <w:spacing w:line="240" w:lineRule="atLeast"/>
              <w:jc w:val="center"/>
              <w:rPr>
                <w:color w:val="auto"/>
                <w:sz w:val="21"/>
                <w:szCs w:val="21"/>
              </w:rPr>
            </w:pPr>
            <w:r>
              <w:rPr>
                <w:color w:val="auto"/>
                <w:sz w:val="21"/>
                <w:szCs w:val="21"/>
              </w:rPr>
              <w:t>1.5%</w:t>
            </w:r>
          </w:p>
        </w:tc>
        <w:tc>
          <w:tcPr>
            <w:tcW w:w="2272" w:type="dxa"/>
            <w:noWrap w:val="0"/>
            <w:vAlign w:val="center"/>
          </w:tcPr>
          <w:p>
            <w:pPr>
              <w:spacing w:line="240" w:lineRule="atLeast"/>
              <w:jc w:val="center"/>
              <w:rPr>
                <w:color w:val="auto"/>
                <w:sz w:val="21"/>
                <w:szCs w:val="21"/>
              </w:rPr>
            </w:pPr>
            <w:r>
              <w:rPr>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pPr>
              <w:spacing w:line="240" w:lineRule="atLeast"/>
              <w:jc w:val="center"/>
              <w:rPr>
                <w:color w:val="auto"/>
                <w:sz w:val="21"/>
                <w:szCs w:val="21"/>
              </w:rPr>
            </w:pPr>
            <w:r>
              <w:rPr>
                <w:color w:val="auto"/>
                <w:sz w:val="21"/>
                <w:szCs w:val="21"/>
              </w:rPr>
              <w:t>100-500</w:t>
            </w:r>
          </w:p>
        </w:tc>
        <w:tc>
          <w:tcPr>
            <w:tcW w:w="2273" w:type="dxa"/>
            <w:noWrap w:val="0"/>
            <w:vAlign w:val="center"/>
          </w:tcPr>
          <w:p>
            <w:pPr>
              <w:spacing w:line="240" w:lineRule="atLeast"/>
              <w:jc w:val="center"/>
              <w:rPr>
                <w:color w:val="auto"/>
                <w:sz w:val="21"/>
                <w:szCs w:val="21"/>
              </w:rPr>
            </w:pPr>
            <w:r>
              <w:rPr>
                <w:color w:val="auto"/>
                <w:sz w:val="21"/>
                <w:szCs w:val="21"/>
              </w:rPr>
              <w:t>1.1%</w:t>
            </w:r>
          </w:p>
        </w:tc>
        <w:tc>
          <w:tcPr>
            <w:tcW w:w="2273" w:type="dxa"/>
            <w:noWrap w:val="0"/>
            <w:vAlign w:val="center"/>
          </w:tcPr>
          <w:p>
            <w:pPr>
              <w:spacing w:line="240" w:lineRule="atLeast"/>
              <w:jc w:val="center"/>
              <w:rPr>
                <w:color w:val="auto"/>
                <w:sz w:val="21"/>
                <w:szCs w:val="21"/>
              </w:rPr>
            </w:pPr>
            <w:r>
              <w:rPr>
                <w:color w:val="auto"/>
                <w:sz w:val="21"/>
                <w:szCs w:val="21"/>
              </w:rPr>
              <w:t>0.8%</w:t>
            </w:r>
          </w:p>
        </w:tc>
        <w:tc>
          <w:tcPr>
            <w:tcW w:w="2272" w:type="dxa"/>
            <w:noWrap w:val="0"/>
            <w:vAlign w:val="center"/>
          </w:tcPr>
          <w:p>
            <w:pPr>
              <w:spacing w:line="240" w:lineRule="atLeast"/>
              <w:jc w:val="center"/>
              <w:rPr>
                <w:color w:val="auto"/>
                <w:sz w:val="21"/>
                <w:szCs w:val="21"/>
              </w:rPr>
            </w:pPr>
            <w:r>
              <w:rPr>
                <w:color w:val="auto"/>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pPr>
              <w:spacing w:line="240" w:lineRule="atLeast"/>
              <w:jc w:val="center"/>
              <w:rPr>
                <w:color w:val="auto"/>
                <w:sz w:val="21"/>
                <w:szCs w:val="21"/>
              </w:rPr>
            </w:pPr>
            <w:r>
              <w:rPr>
                <w:color w:val="auto"/>
                <w:sz w:val="21"/>
                <w:szCs w:val="21"/>
              </w:rPr>
              <w:t>500-1000</w:t>
            </w:r>
          </w:p>
        </w:tc>
        <w:tc>
          <w:tcPr>
            <w:tcW w:w="2273" w:type="dxa"/>
            <w:noWrap w:val="0"/>
            <w:vAlign w:val="center"/>
          </w:tcPr>
          <w:p>
            <w:pPr>
              <w:spacing w:line="240" w:lineRule="atLeast"/>
              <w:jc w:val="center"/>
              <w:rPr>
                <w:color w:val="auto"/>
                <w:sz w:val="21"/>
                <w:szCs w:val="21"/>
              </w:rPr>
            </w:pPr>
            <w:r>
              <w:rPr>
                <w:color w:val="auto"/>
                <w:sz w:val="21"/>
                <w:szCs w:val="21"/>
              </w:rPr>
              <w:t>0.8%</w:t>
            </w:r>
          </w:p>
        </w:tc>
        <w:tc>
          <w:tcPr>
            <w:tcW w:w="2273" w:type="dxa"/>
            <w:noWrap w:val="0"/>
            <w:vAlign w:val="center"/>
          </w:tcPr>
          <w:p>
            <w:pPr>
              <w:spacing w:line="240" w:lineRule="atLeast"/>
              <w:jc w:val="center"/>
              <w:rPr>
                <w:color w:val="auto"/>
                <w:sz w:val="21"/>
                <w:szCs w:val="21"/>
              </w:rPr>
            </w:pPr>
            <w:r>
              <w:rPr>
                <w:color w:val="auto"/>
                <w:sz w:val="21"/>
                <w:szCs w:val="21"/>
              </w:rPr>
              <w:t>0.45%</w:t>
            </w:r>
          </w:p>
        </w:tc>
        <w:tc>
          <w:tcPr>
            <w:tcW w:w="2272" w:type="dxa"/>
            <w:noWrap w:val="0"/>
            <w:vAlign w:val="center"/>
          </w:tcPr>
          <w:p>
            <w:pPr>
              <w:spacing w:line="240" w:lineRule="atLeast"/>
              <w:jc w:val="center"/>
              <w:rPr>
                <w:color w:val="auto"/>
                <w:sz w:val="21"/>
                <w:szCs w:val="21"/>
              </w:rPr>
            </w:pPr>
            <w:r>
              <w:rPr>
                <w:color w:val="auto"/>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pPr>
              <w:spacing w:line="240" w:lineRule="atLeast"/>
              <w:jc w:val="center"/>
              <w:rPr>
                <w:color w:val="auto"/>
                <w:sz w:val="21"/>
                <w:szCs w:val="21"/>
              </w:rPr>
            </w:pPr>
            <w:r>
              <w:rPr>
                <w:color w:val="auto"/>
                <w:sz w:val="21"/>
                <w:szCs w:val="21"/>
              </w:rPr>
              <w:t>1000-5000</w:t>
            </w:r>
          </w:p>
        </w:tc>
        <w:tc>
          <w:tcPr>
            <w:tcW w:w="2273" w:type="dxa"/>
            <w:noWrap w:val="0"/>
            <w:vAlign w:val="center"/>
          </w:tcPr>
          <w:p>
            <w:pPr>
              <w:spacing w:line="240" w:lineRule="atLeast"/>
              <w:jc w:val="center"/>
              <w:rPr>
                <w:color w:val="auto"/>
                <w:sz w:val="21"/>
                <w:szCs w:val="21"/>
              </w:rPr>
            </w:pPr>
            <w:r>
              <w:rPr>
                <w:color w:val="auto"/>
                <w:sz w:val="21"/>
                <w:szCs w:val="21"/>
              </w:rPr>
              <w:t>0.5%</w:t>
            </w:r>
          </w:p>
        </w:tc>
        <w:tc>
          <w:tcPr>
            <w:tcW w:w="2273" w:type="dxa"/>
            <w:noWrap w:val="0"/>
            <w:vAlign w:val="center"/>
          </w:tcPr>
          <w:p>
            <w:pPr>
              <w:spacing w:line="240" w:lineRule="atLeast"/>
              <w:jc w:val="center"/>
              <w:rPr>
                <w:color w:val="auto"/>
                <w:sz w:val="21"/>
                <w:szCs w:val="21"/>
              </w:rPr>
            </w:pPr>
            <w:r>
              <w:rPr>
                <w:color w:val="auto"/>
                <w:sz w:val="21"/>
                <w:szCs w:val="21"/>
              </w:rPr>
              <w:t>0.25%</w:t>
            </w:r>
          </w:p>
        </w:tc>
        <w:tc>
          <w:tcPr>
            <w:tcW w:w="2272" w:type="dxa"/>
            <w:noWrap w:val="0"/>
            <w:vAlign w:val="center"/>
          </w:tcPr>
          <w:p>
            <w:pPr>
              <w:spacing w:line="240" w:lineRule="atLeast"/>
              <w:jc w:val="center"/>
              <w:rPr>
                <w:color w:val="auto"/>
                <w:sz w:val="21"/>
                <w:szCs w:val="21"/>
              </w:rPr>
            </w:pPr>
            <w:r>
              <w:rPr>
                <w:color w:val="auto"/>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pPr>
              <w:spacing w:line="240" w:lineRule="atLeast"/>
              <w:jc w:val="center"/>
              <w:rPr>
                <w:color w:val="auto"/>
                <w:sz w:val="21"/>
                <w:szCs w:val="21"/>
              </w:rPr>
            </w:pPr>
            <w:r>
              <w:rPr>
                <w:color w:val="auto"/>
                <w:sz w:val="21"/>
                <w:szCs w:val="21"/>
              </w:rPr>
              <w:t>5000-10000</w:t>
            </w:r>
          </w:p>
        </w:tc>
        <w:tc>
          <w:tcPr>
            <w:tcW w:w="2273" w:type="dxa"/>
            <w:noWrap w:val="0"/>
            <w:vAlign w:val="center"/>
          </w:tcPr>
          <w:p>
            <w:pPr>
              <w:spacing w:line="240" w:lineRule="atLeast"/>
              <w:jc w:val="center"/>
              <w:rPr>
                <w:color w:val="auto"/>
                <w:sz w:val="21"/>
                <w:szCs w:val="21"/>
              </w:rPr>
            </w:pPr>
            <w:r>
              <w:rPr>
                <w:color w:val="auto"/>
                <w:sz w:val="21"/>
                <w:szCs w:val="21"/>
              </w:rPr>
              <w:t>0.25%</w:t>
            </w:r>
          </w:p>
        </w:tc>
        <w:tc>
          <w:tcPr>
            <w:tcW w:w="2273" w:type="dxa"/>
            <w:noWrap w:val="0"/>
            <w:vAlign w:val="center"/>
          </w:tcPr>
          <w:p>
            <w:pPr>
              <w:spacing w:line="240" w:lineRule="atLeast"/>
              <w:jc w:val="center"/>
              <w:rPr>
                <w:color w:val="auto"/>
                <w:sz w:val="21"/>
                <w:szCs w:val="21"/>
              </w:rPr>
            </w:pPr>
            <w:r>
              <w:rPr>
                <w:color w:val="auto"/>
                <w:sz w:val="21"/>
                <w:szCs w:val="21"/>
              </w:rPr>
              <w:t>0.1%</w:t>
            </w:r>
          </w:p>
        </w:tc>
        <w:tc>
          <w:tcPr>
            <w:tcW w:w="2272" w:type="dxa"/>
            <w:noWrap w:val="0"/>
            <w:vAlign w:val="center"/>
          </w:tcPr>
          <w:p>
            <w:pPr>
              <w:spacing w:line="240" w:lineRule="atLeast"/>
              <w:jc w:val="center"/>
              <w:rPr>
                <w:color w:val="auto"/>
                <w:sz w:val="21"/>
                <w:szCs w:val="21"/>
              </w:rPr>
            </w:pPr>
            <w:r>
              <w:rPr>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pPr>
              <w:spacing w:line="240" w:lineRule="atLeast"/>
              <w:jc w:val="center"/>
              <w:rPr>
                <w:color w:val="auto"/>
                <w:sz w:val="21"/>
                <w:szCs w:val="21"/>
              </w:rPr>
            </w:pPr>
            <w:r>
              <w:rPr>
                <w:color w:val="auto"/>
                <w:sz w:val="21"/>
                <w:szCs w:val="21"/>
              </w:rPr>
              <w:t>10000-100000</w:t>
            </w:r>
          </w:p>
        </w:tc>
        <w:tc>
          <w:tcPr>
            <w:tcW w:w="2273" w:type="dxa"/>
            <w:noWrap w:val="0"/>
            <w:vAlign w:val="center"/>
          </w:tcPr>
          <w:p>
            <w:pPr>
              <w:spacing w:line="240" w:lineRule="atLeast"/>
              <w:jc w:val="center"/>
              <w:rPr>
                <w:color w:val="auto"/>
                <w:sz w:val="21"/>
                <w:szCs w:val="21"/>
              </w:rPr>
            </w:pPr>
            <w:r>
              <w:rPr>
                <w:color w:val="auto"/>
                <w:sz w:val="21"/>
                <w:szCs w:val="21"/>
              </w:rPr>
              <w:t>0.05%</w:t>
            </w:r>
          </w:p>
        </w:tc>
        <w:tc>
          <w:tcPr>
            <w:tcW w:w="2273" w:type="dxa"/>
            <w:noWrap w:val="0"/>
            <w:vAlign w:val="center"/>
          </w:tcPr>
          <w:p>
            <w:pPr>
              <w:spacing w:line="240" w:lineRule="atLeast"/>
              <w:jc w:val="center"/>
              <w:rPr>
                <w:color w:val="auto"/>
                <w:sz w:val="21"/>
                <w:szCs w:val="21"/>
              </w:rPr>
            </w:pPr>
            <w:r>
              <w:rPr>
                <w:color w:val="auto"/>
                <w:sz w:val="21"/>
                <w:szCs w:val="21"/>
              </w:rPr>
              <w:t>0.05%</w:t>
            </w:r>
          </w:p>
        </w:tc>
        <w:tc>
          <w:tcPr>
            <w:tcW w:w="2272" w:type="dxa"/>
            <w:noWrap w:val="0"/>
            <w:vAlign w:val="center"/>
          </w:tcPr>
          <w:p>
            <w:pPr>
              <w:spacing w:line="240" w:lineRule="atLeast"/>
              <w:jc w:val="center"/>
              <w:rPr>
                <w:color w:val="auto"/>
                <w:sz w:val="21"/>
                <w:szCs w:val="21"/>
              </w:rPr>
            </w:pPr>
            <w:r>
              <w:rPr>
                <w:color w:val="auto"/>
                <w:sz w:val="21"/>
                <w:szCs w:val="21"/>
              </w:rPr>
              <w:t>0.05%</w:t>
            </w:r>
          </w:p>
        </w:tc>
      </w:tr>
    </w:tbl>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十</w:t>
      </w:r>
      <w:r>
        <w:rPr>
          <w:rFonts w:hint="eastAsia" w:ascii="宋体" w:hAnsi="宋体" w:cs="宋体"/>
          <w:b/>
          <w:color w:val="auto"/>
          <w:sz w:val="24"/>
          <w:lang w:eastAsia="zh-CN"/>
        </w:rPr>
        <w:t>四</w:t>
      </w:r>
      <w:r>
        <w:rPr>
          <w:rFonts w:hint="eastAsia" w:ascii="宋体" w:hAnsi="宋体" w:cs="宋体"/>
          <w:b/>
          <w:color w:val="auto"/>
          <w:sz w:val="24"/>
        </w:rPr>
        <w:t>、签订合同</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color w:val="auto"/>
          <w:sz w:val="24"/>
        </w:rPr>
      </w:pPr>
      <w:r>
        <w:rPr>
          <w:rFonts w:hint="eastAsia" w:ascii="宋体" w:hAnsi="宋体" w:cs="宋体"/>
          <w:color w:val="auto"/>
          <w:sz w:val="24"/>
        </w:rPr>
        <w:t>（一）采购人应当自成交通知书发出之日起十日内，按照询价文件和成交供应商响应文件的约定，与成交供应商签订书面合同。所签订的合同不得对询价文件和成交供应商响应文件作实质性修改。</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color w:val="auto"/>
          <w:sz w:val="24"/>
        </w:rPr>
      </w:pPr>
      <w:r>
        <w:rPr>
          <w:rFonts w:hint="eastAsia" w:ascii="宋体" w:hAnsi="宋体" w:cs="宋体"/>
          <w:color w:val="auto"/>
          <w:sz w:val="24"/>
        </w:rPr>
        <w:t>（二）采购人应当自政府采购合同签订之日起2个工作日内，将政府采购合同在重庆市政府采购网上公告，但政府采购合同中涉及国家秘密、商业秘密的内容除外。</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color w:val="auto"/>
          <w:sz w:val="24"/>
        </w:rPr>
      </w:pPr>
      <w:r>
        <w:rPr>
          <w:rFonts w:hint="eastAsia" w:ascii="宋体" w:hAnsi="宋体" w:cs="宋体"/>
          <w:color w:val="auto"/>
          <w:sz w:val="24"/>
        </w:rPr>
        <w:t>（三）询价文件、成交供应商的响应文件及澄清文件等，均为签订政府采购合同的依据。</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color w:val="auto"/>
          <w:sz w:val="24"/>
        </w:rPr>
      </w:pPr>
      <w:r>
        <w:rPr>
          <w:rFonts w:hint="eastAsia" w:ascii="宋体" w:hAnsi="宋体" w:cs="宋体"/>
          <w:color w:val="auto"/>
          <w:sz w:val="24"/>
        </w:rPr>
        <w:t>（四）合同生效条款由供需双方约定，法律、行政法规规定应当办理批准、登记等手续后生效的合同，依照其规定。</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color w:val="auto"/>
          <w:sz w:val="24"/>
        </w:rPr>
      </w:pPr>
      <w:r>
        <w:rPr>
          <w:rFonts w:hint="eastAsia" w:ascii="宋体" w:hAnsi="宋体" w:cs="宋体"/>
          <w:color w:val="auto"/>
          <w:sz w:val="24"/>
        </w:rPr>
        <w:t>（五）合同原则上应按照《重庆市政府采购合同》签订，相关单位要求适用合同通用格式版本的，应按其要求另行签订其他合同。</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color w:val="auto"/>
          <w:sz w:val="24"/>
        </w:rPr>
      </w:pPr>
      <w:r>
        <w:rPr>
          <w:rFonts w:hint="eastAsia" w:ascii="宋体" w:hAnsi="宋体" w:cs="宋体"/>
          <w:color w:val="auto"/>
          <w:sz w:val="24"/>
        </w:rPr>
        <w:t>（六）采购人要求成交供应商提供履约保证金的，应当在询价文件中予以约定。成交供应商履约完毕后，采购人应按询价文件及合同的约定，30日内退还其履约保证金。</w:t>
      </w:r>
    </w:p>
    <w:p>
      <w:pPr>
        <w:keepNext/>
        <w:keepLines/>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十</w:t>
      </w:r>
      <w:r>
        <w:rPr>
          <w:rFonts w:hint="eastAsia" w:ascii="宋体" w:hAnsi="宋体" w:cs="宋体"/>
          <w:b/>
          <w:color w:val="auto"/>
          <w:sz w:val="24"/>
          <w:lang w:eastAsia="zh-CN"/>
        </w:rPr>
        <w:t>五</w:t>
      </w:r>
      <w:r>
        <w:rPr>
          <w:rFonts w:hint="eastAsia" w:ascii="宋体" w:hAnsi="宋体" w:cs="宋体"/>
          <w:b/>
          <w:color w:val="auto"/>
          <w:sz w:val="24"/>
        </w:rPr>
        <w:t>、</w:t>
      </w:r>
      <w:bookmarkStart w:id="32" w:name="_Toc66438988"/>
      <w:r>
        <w:rPr>
          <w:rFonts w:hint="eastAsia" w:ascii="宋体" w:hAnsi="宋体" w:cs="宋体"/>
          <w:b/>
          <w:color w:val="auto"/>
          <w:sz w:val="24"/>
        </w:rPr>
        <w:t>政府采购信用融资</w:t>
      </w:r>
      <w:bookmarkEnd w:id="32"/>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color w:val="auto"/>
          <w:sz w:val="24"/>
        </w:rPr>
      </w:pPr>
      <w:r>
        <w:rPr>
          <w:rFonts w:hint="eastAsia" w:ascii="宋体" w:hAnsi="宋体" w:cs="宋体"/>
          <w:color w:val="auto"/>
          <w:sz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snapToGrid w:val="0"/>
        <w:spacing w:line="360" w:lineRule="auto"/>
        <w:jc w:val="center"/>
        <w:outlineLvl w:val="0"/>
        <w:rPr>
          <w:rFonts w:hint="eastAsia" w:ascii="宋体" w:hAnsi="宋体" w:cs="宋体"/>
          <w:b/>
          <w:color w:val="auto"/>
          <w:sz w:val="44"/>
        </w:rPr>
      </w:pPr>
      <w:r>
        <w:rPr>
          <w:rFonts w:hint="eastAsia" w:ascii="宋体" w:hAnsi="宋体" w:cs="宋体"/>
          <w:color w:val="auto"/>
        </w:rPr>
        <w:br w:type="page"/>
      </w:r>
      <w:bookmarkStart w:id="33" w:name="_Toc10156"/>
      <w:r>
        <w:rPr>
          <w:rFonts w:hint="eastAsia" w:ascii="宋体" w:hAnsi="宋体" w:cs="宋体"/>
          <w:b/>
          <w:color w:val="auto"/>
          <w:sz w:val="44"/>
        </w:rPr>
        <w:t>第五篇  合同主要条款和格式合同（样本）</w:t>
      </w:r>
      <w:bookmarkEnd w:id="33"/>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color w:val="auto"/>
          <w:sz w:val="24"/>
        </w:rPr>
      </w:pPr>
      <w:r>
        <w:rPr>
          <w:rFonts w:hint="eastAsia" w:ascii="宋体" w:hAnsi="宋体" w:cs="宋体"/>
          <w:b/>
          <w:color w:val="auto"/>
          <w:sz w:val="24"/>
        </w:rPr>
        <w:t>一、合同主要条款</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1.定义</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1.1甲方（需方）即采购人，是指通过招标采购，接受合同货物及服务的各级国家机关、事业单位和团体组织。</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1.2乙方（供方）即中标人，是指中标后提供合同货物和服务的自然人、法人及其他组织。</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1.3合同是指由甲乙双方按照招标文件和投标文件的实质性内容，通过协商一致达成的书面协议。</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1.4合同价格指以中标价格为依据，在供方全面履行合同义务后，需方（或财政部门）应支付给供方的金额。</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1.5技术资料是指合同货物及其相关的设计、制造、监造、检验、验收等文件（包括图纸、各种文字说明、标准）。</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2.货物内容</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合同包括以下内容：货物名称、型号规格、技术参数、数量（单位）等内容。</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3.合同价格</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3.1合同价格即合同总价。</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3.2合同价格包括合同货物、技术资料、合同货物的税费、运杂费、保险费、包装费、装卸费及与货物有关的供方应纳的税费，所有税费由乙方负担。</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3.3合同货物单价为不变价。</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4.转包或分包</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4.1本合同范围的货物，应由乙方直接供应，不得转让他人供应；</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4.2非经甲方书面同意，乙方不得将本合同范围的货物全部或部分分包给他人供应；</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4.3如有转让和未经甲方同意的分包行为，甲方有权解除合同，没收履约保证金并追究乙方的违约责任。</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5.质量保证及售后服务</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5.1乙方应按招标文件规定的货物性能、技术要求、质量标准向甲方提供未经使用的全新产品。</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5.2乙方提供的货物在质保期内因货物本身的质量问题发生故障，乙方应负责免费更换。对达不到技术要求者，根据实际情况，经双方协商，可按以下办法处理：</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5.2.1更换：由乙方承担所发生的全部费用。</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5.2.2贬值处理：由甲乙双方合议定价。</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5.2.3退货处理：乙方应退还甲方支付的合同款，同时应承担该货物的直接费用（运输、保险、检验、货款利息及银行手续费等）。</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5.3如在使用过程中发生质量问题，乙方应按本项目“第三篇 项目商务要求”中的要求处理。</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5.4在质保期内，乙方应对货物出现的质量及安全问题负责处理解决并承担一切费用。</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5.5 如甲方要求乙方提供履约保证金的，履约保证金的收取和退还应按本项目“第三篇 项目商务要求”中的要求处理。</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6.付款</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6.1本合同使用货币币制如未作特别说明均为人民币。</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6.2付款方式：银行转账、现金支票。</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6.3付款方法：同本项目“第三篇 商务条款”中关于付款方式的约定。</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7.检查验收</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7.1供方应随货物提供合格证和质量证明文件，如是国外进口的货物还须提供入关证明。</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7.2货物验收</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7.3货物验收报告应由需方、供方经办人签字，并加盖双方公章，以此作为支付凭据。</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8.索赔</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供方对货物与合同要求不符负有责任，并且需方已于规定交货内和质量保证期内提出索赔，供方应按需方同意的下述一种或多种方法解决索赔事宜。</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8.2根据货物的疵劣和受损程度以及需方遭受损失的金额，经双方同意降低货物价格。</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9.知识产权</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甲方在中华人民共和国境内使用乙方提供的货物及服务时免受第三方提出的侵犯其专利权或其它知识产权的起诉。如果第三方提出侵权指控，乙方应承担由此而引起的一切法律责任和费用。</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10.合同争议的解决</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10.1当事人友好协商达成一致。</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10.2在60天内当事人协商不能达成协议的，可提请采购人当地仲裁机构仲裁。</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11.违约责任</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按《中华人民共和国民法典》、《中华人民共和国政府采购法》有关条款，或由供需双方约定。</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12.合同生效及其它</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12.1合同生效及其效力应符合《中华人民共和国民法典》有关规定。</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12.2合同应经当事人法定代表人或委托代理人签字，加盖双方合同专用章或公章。</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12.3合同所包括附件，是合同不可分割的一部分，具有同等法律效力。</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sz w:val="24"/>
        </w:rPr>
      </w:pPr>
      <w:r>
        <w:rPr>
          <w:rFonts w:hint="eastAsia" w:ascii="宋体" w:hAnsi="宋体" w:cs="宋体"/>
          <w:b w:val="0"/>
          <w:bCs/>
          <w:color w:val="auto"/>
          <w:sz w:val="24"/>
        </w:rPr>
        <w:t>12.4合同需提供担保的，按《中华人民共和国民法典》规定执行。</w:t>
      </w:r>
    </w:p>
    <w:p>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cs="宋体"/>
          <w:b w:val="0"/>
          <w:bCs/>
          <w:color w:val="auto"/>
        </w:rPr>
        <w:sectPr>
          <w:footerReference r:id="rId9" w:type="default"/>
          <w:pgSz w:w="11907" w:h="16840"/>
          <w:pgMar w:top="1134" w:right="1191" w:bottom="1134" w:left="1304" w:header="964" w:footer="992" w:gutter="0"/>
          <w:cols w:space="720" w:num="1"/>
          <w:docGrid w:linePitch="312" w:charSpace="0"/>
        </w:sectPr>
      </w:pPr>
      <w:r>
        <w:rPr>
          <w:rFonts w:hint="eastAsia" w:ascii="宋体" w:hAnsi="宋体" w:cs="宋体"/>
          <w:b w:val="0"/>
          <w:bCs/>
          <w:color w:val="auto"/>
          <w:sz w:val="24"/>
        </w:rPr>
        <w:t>12.5本合同条件未尽事宜依照《中华人民共和国民法典》，由供需双方共同协商确定。</w:t>
      </w:r>
    </w:p>
    <w:p>
      <w:pPr>
        <w:keepNext/>
        <w:keepLines/>
        <w:snapToGrid w:val="0"/>
        <w:spacing w:line="500" w:lineRule="exact"/>
        <w:ind w:firstLine="482"/>
        <w:rPr>
          <w:rFonts w:hint="eastAsia" w:ascii="宋体" w:hAnsi="宋体" w:cs="宋体"/>
          <w:b/>
          <w:color w:val="auto"/>
          <w:sz w:val="24"/>
        </w:rPr>
      </w:pPr>
      <w:r>
        <w:rPr>
          <w:rFonts w:hint="eastAsia" w:ascii="宋体" w:hAnsi="宋体" w:cs="宋体"/>
          <w:b/>
          <w:color w:val="auto"/>
          <w:sz w:val="24"/>
        </w:rPr>
        <w:t>二、政府采购合同（格式）</w:t>
      </w:r>
    </w:p>
    <w:p>
      <w:pPr>
        <w:snapToGrid w:val="0"/>
        <w:spacing w:line="500" w:lineRule="exact"/>
        <w:jc w:val="center"/>
        <w:rPr>
          <w:rFonts w:hint="eastAsia" w:ascii="宋体" w:hAnsi="宋体" w:cs="宋体"/>
          <w:b/>
          <w:color w:val="auto"/>
          <w:sz w:val="44"/>
        </w:rPr>
      </w:pPr>
    </w:p>
    <w:p>
      <w:pPr>
        <w:snapToGrid w:val="0"/>
        <w:spacing w:line="500" w:lineRule="exact"/>
        <w:jc w:val="center"/>
        <w:rPr>
          <w:rFonts w:hint="eastAsia" w:ascii="宋体" w:hAnsi="宋体" w:cs="宋体"/>
          <w:b/>
          <w:color w:val="auto"/>
          <w:sz w:val="44"/>
        </w:rPr>
      </w:pPr>
      <w:r>
        <w:rPr>
          <w:rFonts w:hint="eastAsia" w:ascii="宋体" w:hAnsi="宋体" w:cs="宋体"/>
          <w:b/>
          <w:color w:val="auto"/>
          <w:sz w:val="44"/>
        </w:rPr>
        <w:t>重庆市政府采购合同</w:t>
      </w:r>
    </w:p>
    <w:p>
      <w:pPr>
        <w:snapToGrid w:val="0"/>
        <w:spacing w:line="500" w:lineRule="exact"/>
        <w:jc w:val="center"/>
        <w:rPr>
          <w:rFonts w:hint="eastAsia" w:ascii="宋体" w:hAnsi="宋体" w:cs="宋体"/>
          <w:color w:val="auto"/>
        </w:rPr>
      </w:pPr>
      <w:r>
        <w:rPr>
          <w:rFonts w:hint="eastAsia" w:ascii="宋体" w:hAnsi="宋体" w:cs="宋体"/>
          <w:color w:val="auto"/>
        </w:rPr>
        <w:t>（项目编号：     ）</w:t>
      </w:r>
    </w:p>
    <w:p>
      <w:pPr>
        <w:snapToGrid w:val="0"/>
        <w:spacing w:line="500" w:lineRule="exact"/>
        <w:rPr>
          <w:rFonts w:hint="eastAsia" w:ascii="宋体" w:hAnsi="宋体" w:cs="宋体"/>
          <w:color w:val="auto"/>
          <w:sz w:val="24"/>
        </w:rPr>
      </w:pPr>
      <w:r>
        <w:rPr>
          <w:rFonts w:hint="eastAsia" w:ascii="宋体" w:hAnsi="宋体" w:cs="宋体"/>
          <w:color w:val="auto"/>
          <w:sz w:val="24"/>
        </w:rPr>
        <w:t>甲方（需方）：___________________________      计价单位：____________</w:t>
      </w:r>
    </w:p>
    <w:p>
      <w:pPr>
        <w:snapToGrid w:val="0"/>
        <w:spacing w:line="500" w:lineRule="exact"/>
        <w:rPr>
          <w:rFonts w:hint="eastAsia" w:ascii="宋体" w:hAnsi="宋体" w:cs="宋体"/>
          <w:color w:val="auto"/>
          <w:sz w:val="24"/>
        </w:rPr>
      </w:pPr>
      <w:r>
        <w:rPr>
          <w:rFonts w:hint="eastAsia" w:ascii="宋体" w:hAnsi="宋体" w:cs="宋体"/>
          <w:color w:val="auto"/>
          <w:sz w:val="24"/>
        </w:rPr>
        <w:t>乙方（供方）：___________________________      计量单位：_____________</w:t>
      </w:r>
    </w:p>
    <w:p>
      <w:pPr>
        <w:snapToGrid w:val="0"/>
        <w:spacing w:line="500" w:lineRule="exact"/>
        <w:rPr>
          <w:rFonts w:hint="eastAsia" w:ascii="宋体" w:hAnsi="宋体" w:cs="宋体"/>
          <w:color w:val="auto"/>
          <w:sz w:val="24"/>
        </w:rPr>
      </w:pPr>
    </w:p>
    <w:p>
      <w:pPr>
        <w:snapToGrid w:val="0"/>
        <w:spacing w:line="500" w:lineRule="exact"/>
        <w:rPr>
          <w:rFonts w:hint="eastAsia" w:ascii="宋体" w:hAnsi="宋体" w:cs="宋体"/>
          <w:color w:val="auto"/>
          <w:sz w:val="24"/>
        </w:rPr>
      </w:pPr>
      <w:r>
        <w:rPr>
          <w:rFonts w:hint="eastAsia" w:ascii="宋体" w:hAnsi="宋体" w:cs="宋体"/>
          <w:color w:val="auto"/>
          <w:sz w:val="24"/>
        </w:rPr>
        <w:t>经双方协商一致，达成以下购销合同：</w:t>
      </w:r>
    </w:p>
    <w:tbl>
      <w:tblPr>
        <w:tblStyle w:val="68"/>
        <w:tblW w:w="0" w:type="auto"/>
        <w:tblInd w:w="0" w:type="dxa"/>
        <w:tblLayout w:type="fixed"/>
        <w:tblCellMar>
          <w:top w:w="0" w:type="dxa"/>
          <w:left w:w="0" w:type="dxa"/>
          <w:bottom w:w="0" w:type="dxa"/>
          <w:right w:w="0" w:type="dxa"/>
        </w:tblCellMar>
      </w:tblPr>
      <w:tblGrid>
        <w:gridCol w:w="1330"/>
        <w:gridCol w:w="1741"/>
        <w:gridCol w:w="984"/>
        <w:gridCol w:w="306"/>
        <w:gridCol w:w="992"/>
        <w:gridCol w:w="1134"/>
        <w:gridCol w:w="1559"/>
        <w:gridCol w:w="1567"/>
        <w:gridCol w:w="15"/>
      </w:tblGrid>
      <w:tr>
        <w:tblPrEx>
          <w:tblCellMar>
            <w:top w:w="0" w:type="dxa"/>
            <w:left w:w="0" w:type="dxa"/>
            <w:bottom w:w="0" w:type="dxa"/>
            <w:right w:w="0" w:type="dxa"/>
          </w:tblCellMar>
        </w:tblPrEx>
        <w:trPr>
          <w:gridAfter w:val="1"/>
          <w:wBefore w:w="0" w:type="dxa"/>
          <w:wAfter w:w="15" w:type="dxa"/>
          <w:trHeight w:val="452" w:hRule="atLeast"/>
        </w:trPr>
        <w:tc>
          <w:tcPr>
            <w:tcW w:w="13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r>
              <w:rPr>
                <w:rFonts w:hint="eastAsia" w:ascii="宋体" w:hAnsi="宋体" w:cs="宋体"/>
                <w:color w:val="auto"/>
                <w:sz w:val="21"/>
              </w:rPr>
              <w:t>商品名称</w:t>
            </w:r>
          </w:p>
        </w:tc>
        <w:tc>
          <w:tcPr>
            <w:tcW w:w="17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r>
              <w:rPr>
                <w:rFonts w:hint="eastAsia" w:ascii="宋体" w:hAnsi="宋体" w:cs="宋体"/>
                <w:color w:val="auto"/>
                <w:sz w:val="21"/>
              </w:rPr>
              <w:t>规格型号</w:t>
            </w:r>
          </w:p>
        </w:tc>
        <w:tc>
          <w:tcPr>
            <w:tcW w:w="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r>
              <w:rPr>
                <w:rFonts w:hint="eastAsia" w:ascii="宋体" w:hAnsi="宋体" w:cs="宋体"/>
                <w:color w:val="auto"/>
                <w:sz w:val="21"/>
              </w:rPr>
              <w:t>数量</w:t>
            </w:r>
          </w:p>
        </w:tc>
        <w:tc>
          <w:tcPr>
            <w:tcW w:w="129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r>
              <w:rPr>
                <w:rFonts w:hint="eastAsia" w:ascii="宋体" w:hAnsi="宋体" w:cs="宋体"/>
                <w:color w:val="auto"/>
                <w:sz w:val="21"/>
              </w:rPr>
              <w:t>综合单价</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r>
              <w:rPr>
                <w:rFonts w:hint="eastAsia" w:ascii="宋体" w:hAnsi="宋体" w:cs="宋体"/>
                <w:color w:val="auto"/>
                <w:sz w:val="21"/>
              </w:rPr>
              <w:t>总价</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r>
              <w:rPr>
                <w:rFonts w:hint="eastAsia" w:ascii="宋体" w:hAnsi="宋体" w:cs="宋体"/>
                <w:color w:val="auto"/>
                <w:sz w:val="21"/>
              </w:rPr>
              <w:t>交货时间</w:t>
            </w:r>
          </w:p>
        </w:tc>
        <w:tc>
          <w:tcPr>
            <w:tcW w:w="1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r>
              <w:rPr>
                <w:rFonts w:hint="eastAsia" w:ascii="宋体" w:hAnsi="宋体" w:cs="宋体"/>
                <w:color w:val="auto"/>
                <w:sz w:val="21"/>
              </w:rPr>
              <w:t>交货地点</w:t>
            </w:r>
          </w:p>
        </w:tc>
      </w:tr>
      <w:tr>
        <w:tblPrEx>
          <w:tblCellMar>
            <w:top w:w="0" w:type="dxa"/>
            <w:left w:w="0" w:type="dxa"/>
            <w:bottom w:w="0" w:type="dxa"/>
            <w:right w:w="0" w:type="dxa"/>
          </w:tblCellMar>
        </w:tblPrEx>
        <w:trPr>
          <w:gridAfter w:val="1"/>
          <w:wBefore w:w="0" w:type="dxa"/>
          <w:wAfter w:w="15" w:type="dxa"/>
        </w:trPr>
        <w:tc>
          <w:tcPr>
            <w:tcW w:w="13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7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29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r>
      <w:tr>
        <w:tblPrEx>
          <w:tblCellMar>
            <w:top w:w="0" w:type="dxa"/>
            <w:left w:w="0" w:type="dxa"/>
            <w:bottom w:w="0" w:type="dxa"/>
            <w:right w:w="0" w:type="dxa"/>
          </w:tblCellMar>
        </w:tblPrEx>
        <w:trPr>
          <w:gridAfter w:val="1"/>
          <w:wBefore w:w="0" w:type="dxa"/>
          <w:wAfter w:w="15" w:type="dxa"/>
        </w:trPr>
        <w:tc>
          <w:tcPr>
            <w:tcW w:w="13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7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29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r>
      <w:tr>
        <w:tblPrEx>
          <w:tblCellMar>
            <w:top w:w="0" w:type="dxa"/>
            <w:left w:w="0" w:type="dxa"/>
            <w:bottom w:w="0" w:type="dxa"/>
            <w:right w:w="0" w:type="dxa"/>
          </w:tblCellMar>
        </w:tblPrEx>
        <w:trPr>
          <w:gridAfter w:val="1"/>
          <w:wBefore w:w="0" w:type="dxa"/>
          <w:wAfter w:w="15" w:type="dxa"/>
        </w:trPr>
        <w:tc>
          <w:tcPr>
            <w:tcW w:w="13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7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29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r>
      <w:tr>
        <w:tblPrEx>
          <w:tblCellMar>
            <w:top w:w="0" w:type="dxa"/>
            <w:left w:w="0" w:type="dxa"/>
            <w:bottom w:w="0" w:type="dxa"/>
            <w:right w:w="0" w:type="dxa"/>
          </w:tblCellMar>
        </w:tblPrEx>
        <w:trPr>
          <w:gridAfter w:val="1"/>
          <w:wBefore w:w="0" w:type="dxa"/>
          <w:wAfter w:w="15" w:type="dxa"/>
        </w:trPr>
        <w:tc>
          <w:tcPr>
            <w:tcW w:w="13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7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29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r>
      <w:tr>
        <w:tblPrEx>
          <w:tblCellMar>
            <w:top w:w="0" w:type="dxa"/>
            <w:left w:w="0" w:type="dxa"/>
            <w:bottom w:w="0" w:type="dxa"/>
            <w:right w:w="0" w:type="dxa"/>
          </w:tblCellMar>
        </w:tblPrEx>
        <w:trPr>
          <w:gridAfter w:val="1"/>
          <w:wBefore w:w="0" w:type="dxa"/>
          <w:wAfter w:w="15" w:type="dxa"/>
        </w:trPr>
        <w:tc>
          <w:tcPr>
            <w:tcW w:w="13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7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29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r>
      <w:tr>
        <w:tblPrEx>
          <w:tblCellMar>
            <w:top w:w="0" w:type="dxa"/>
            <w:left w:w="0" w:type="dxa"/>
            <w:bottom w:w="0" w:type="dxa"/>
            <w:right w:w="0" w:type="dxa"/>
          </w:tblCellMar>
        </w:tblPrEx>
        <w:trPr>
          <w:gridAfter w:val="1"/>
          <w:wBefore w:w="0" w:type="dxa"/>
          <w:wAfter w:w="15" w:type="dxa"/>
        </w:trPr>
        <w:tc>
          <w:tcPr>
            <w:tcW w:w="13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7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29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r>
      <w:tr>
        <w:tblPrEx>
          <w:tblCellMar>
            <w:top w:w="0" w:type="dxa"/>
            <w:left w:w="0" w:type="dxa"/>
            <w:bottom w:w="0" w:type="dxa"/>
            <w:right w:w="0" w:type="dxa"/>
          </w:tblCellMar>
        </w:tblPrEx>
        <w:trPr>
          <w:gridAfter w:val="1"/>
          <w:wBefore w:w="0" w:type="dxa"/>
          <w:wAfter w:w="15" w:type="dxa"/>
        </w:trPr>
        <w:tc>
          <w:tcPr>
            <w:tcW w:w="13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7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29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r>
      <w:tr>
        <w:tblPrEx>
          <w:tblCellMar>
            <w:top w:w="0" w:type="dxa"/>
            <w:left w:w="0" w:type="dxa"/>
            <w:bottom w:w="0" w:type="dxa"/>
            <w:right w:w="0" w:type="dxa"/>
          </w:tblCellMar>
        </w:tblPrEx>
        <w:trPr>
          <w:gridAfter w:val="1"/>
          <w:wBefore w:w="0" w:type="dxa"/>
          <w:wAfter w:w="15" w:type="dxa"/>
        </w:trPr>
        <w:tc>
          <w:tcPr>
            <w:tcW w:w="13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7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29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c>
          <w:tcPr>
            <w:tcW w:w="1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jc w:val="center"/>
              <w:rPr>
                <w:rFonts w:hint="eastAsia" w:ascii="宋体" w:hAnsi="宋体" w:cs="宋体"/>
                <w:color w:val="auto"/>
                <w:sz w:val="21"/>
              </w:rPr>
            </w:pPr>
          </w:p>
        </w:tc>
      </w:tr>
      <w:tr>
        <w:tblPrEx>
          <w:tblCellMar>
            <w:top w:w="0" w:type="dxa"/>
            <w:left w:w="0" w:type="dxa"/>
            <w:bottom w:w="0" w:type="dxa"/>
            <w:right w:w="0" w:type="dxa"/>
          </w:tblCellMar>
        </w:tblPrEx>
        <w:trPr>
          <w:gridAfter w:val="1"/>
          <w:wBefore w:w="0" w:type="dxa"/>
          <w:wAfter w:w="15" w:type="dxa"/>
        </w:trPr>
        <w:tc>
          <w:tcPr>
            <w:tcW w:w="9613"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rPr>
                <w:rFonts w:hint="eastAsia" w:ascii="宋体" w:hAnsi="宋体" w:cs="宋体"/>
                <w:color w:val="auto"/>
                <w:sz w:val="21"/>
              </w:rPr>
            </w:pPr>
            <w:r>
              <w:rPr>
                <w:rFonts w:hint="eastAsia" w:ascii="宋体" w:hAnsi="宋体" w:cs="宋体"/>
                <w:color w:val="auto"/>
                <w:sz w:val="21"/>
              </w:rPr>
              <w:t>合计人民币（小写）：</w:t>
            </w:r>
          </w:p>
        </w:tc>
      </w:tr>
      <w:tr>
        <w:tblPrEx>
          <w:tblCellMar>
            <w:top w:w="0" w:type="dxa"/>
            <w:left w:w="0" w:type="dxa"/>
            <w:bottom w:w="0" w:type="dxa"/>
            <w:right w:w="0" w:type="dxa"/>
          </w:tblCellMar>
        </w:tblPrEx>
        <w:trPr>
          <w:gridAfter w:val="1"/>
          <w:wBefore w:w="0" w:type="dxa"/>
          <w:wAfter w:w="15" w:type="dxa"/>
        </w:trPr>
        <w:tc>
          <w:tcPr>
            <w:tcW w:w="9613"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rPr>
                <w:rFonts w:hint="eastAsia" w:ascii="宋体" w:hAnsi="宋体" w:cs="宋体"/>
                <w:color w:val="auto"/>
                <w:sz w:val="21"/>
              </w:rPr>
            </w:pPr>
            <w:r>
              <w:rPr>
                <w:rFonts w:hint="eastAsia" w:ascii="宋体" w:hAnsi="宋体" w:cs="宋体"/>
                <w:color w:val="auto"/>
                <w:sz w:val="21"/>
              </w:rPr>
              <w:t>合计人民币（大写）：</w:t>
            </w:r>
          </w:p>
        </w:tc>
      </w:tr>
      <w:tr>
        <w:tblPrEx>
          <w:tblCellMar>
            <w:top w:w="0" w:type="dxa"/>
            <w:left w:w="0" w:type="dxa"/>
            <w:bottom w:w="0" w:type="dxa"/>
            <w:right w:w="0" w:type="dxa"/>
          </w:tblCellMar>
        </w:tblPrEx>
        <w:trPr>
          <w:gridAfter w:val="1"/>
          <w:wBefore w:w="0" w:type="dxa"/>
          <w:wAfter w:w="15" w:type="dxa"/>
          <w:trHeight w:val="2052" w:hRule="atLeast"/>
        </w:trPr>
        <w:tc>
          <w:tcPr>
            <w:tcW w:w="9613"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rPr>
                <w:rFonts w:hint="eastAsia" w:ascii="宋体" w:hAnsi="宋体" w:cs="宋体"/>
                <w:color w:val="auto"/>
                <w:sz w:val="21"/>
              </w:rPr>
            </w:pPr>
            <w:r>
              <w:rPr>
                <w:rFonts w:hint="eastAsia" w:ascii="宋体" w:hAnsi="宋体" w:cs="宋体"/>
                <w:color w:val="auto"/>
                <w:sz w:val="21"/>
              </w:rPr>
              <w:t>一、质量要求和技术标准。供方提供的商品必须是全新的，完全符合国家有关技术标准，供方的质量保证及售后服务承诺如下：</w:t>
            </w:r>
          </w:p>
          <w:p>
            <w:pPr>
              <w:snapToGrid w:val="0"/>
              <w:spacing w:line="240" w:lineRule="atLeast"/>
              <w:rPr>
                <w:rFonts w:hint="eastAsia" w:ascii="宋体" w:hAnsi="宋体" w:cs="宋体"/>
                <w:color w:val="auto"/>
                <w:sz w:val="21"/>
              </w:rPr>
            </w:pPr>
            <w:r>
              <w:rPr>
                <w:rFonts w:hint="eastAsia" w:ascii="宋体" w:hAnsi="宋体" w:cs="宋体"/>
                <w:color w:val="auto"/>
                <w:sz w:val="21"/>
              </w:rPr>
              <w:t>1、质保期限：</w:t>
            </w:r>
          </w:p>
          <w:p>
            <w:pPr>
              <w:snapToGrid w:val="0"/>
              <w:spacing w:line="240" w:lineRule="atLeast"/>
              <w:rPr>
                <w:rFonts w:hint="eastAsia" w:ascii="宋体" w:hAnsi="宋体" w:cs="宋体"/>
                <w:color w:val="auto"/>
                <w:sz w:val="21"/>
              </w:rPr>
            </w:pPr>
            <w:r>
              <w:rPr>
                <w:rFonts w:hint="eastAsia" w:ascii="宋体" w:hAnsi="宋体" w:cs="宋体"/>
                <w:color w:val="auto"/>
                <w:sz w:val="21"/>
              </w:rPr>
              <w:t>2、保修范围：</w:t>
            </w:r>
          </w:p>
          <w:p>
            <w:pPr>
              <w:snapToGrid w:val="0"/>
              <w:spacing w:line="240" w:lineRule="atLeast"/>
              <w:rPr>
                <w:rFonts w:hint="eastAsia" w:ascii="宋体" w:hAnsi="宋体" w:cs="宋体"/>
                <w:color w:val="auto"/>
                <w:sz w:val="21"/>
              </w:rPr>
            </w:pPr>
            <w:r>
              <w:rPr>
                <w:rFonts w:hint="eastAsia" w:ascii="宋体" w:hAnsi="宋体" w:cs="宋体"/>
                <w:color w:val="auto"/>
                <w:sz w:val="21"/>
              </w:rPr>
              <w:t>3、服务措施：</w:t>
            </w:r>
          </w:p>
          <w:p>
            <w:pPr>
              <w:snapToGrid w:val="0"/>
              <w:spacing w:line="240" w:lineRule="atLeast"/>
              <w:rPr>
                <w:rFonts w:hint="eastAsia" w:ascii="宋体" w:hAnsi="宋体" w:cs="宋体"/>
                <w:color w:val="auto"/>
                <w:sz w:val="21"/>
              </w:rPr>
            </w:pPr>
            <w:r>
              <w:rPr>
                <w:rFonts w:hint="eastAsia" w:ascii="宋体" w:hAnsi="宋体" w:cs="宋体"/>
                <w:color w:val="auto"/>
                <w:sz w:val="21"/>
              </w:rPr>
              <w:t>4、质保期后服务：</w:t>
            </w:r>
          </w:p>
        </w:tc>
      </w:tr>
      <w:tr>
        <w:tblPrEx>
          <w:tblCellMar>
            <w:top w:w="0" w:type="dxa"/>
            <w:left w:w="0" w:type="dxa"/>
            <w:bottom w:w="0" w:type="dxa"/>
            <w:right w:w="0" w:type="dxa"/>
          </w:tblCellMar>
        </w:tblPrEx>
        <w:trPr>
          <w:gridAfter w:val="1"/>
          <w:wBefore w:w="0" w:type="dxa"/>
          <w:wAfter w:w="15" w:type="dxa"/>
          <w:trHeight w:val="913" w:hRule="atLeast"/>
        </w:trPr>
        <w:tc>
          <w:tcPr>
            <w:tcW w:w="9613"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rPr>
                <w:rFonts w:hint="eastAsia" w:ascii="宋体" w:hAnsi="宋体" w:cs="宋体"/>
                <w:color w:val="auto"/>
                <w:sz w:val="21"/>
              </w:rPr>
            </w:pPr>
            <w:r>
              <w:rPr>
                <w:rFonts w:hint="eastAsia" w:ascii="宋体" w:hAnsi="宋体" w:cs="宋体"/>
                <w:color w:val="auto"/>
                <w:sz w:val="21"/>
              </w:rPr>
              <w:t>二、随机备品、附件、工具数量及供应方法：</w:t>
            </w:r>
          </w:p>
        </w:tc>
      </w:tr>
      <w:tr>
        <w:tblPrEx>
          <w:tblCellMar>
            <w:top w:w="0" w:type="dxa"/>
            <w:left w:w="0" w:type="dxa"/>
            <w:bottom w:w="0" w:type="dxa"/>
            <w:right w:w="0" w:type="dxa"/>
          </w:tblCellMar>
        </w:tblPrEx>
        <w:trPr>
          <w:gridAfter w:val="1"/>
          <w:wBefore w:w="0" w:type="dxa"/>
          <w:wAfter w:w="15" w:type="dxa"/>
          <w:trHeight w:val="751" w:hRule="atLeast"/>
        </w:trPr>
        <w:tc>
          <w:tcPr>
            <w:tcW w:w="9613"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rPr>
                <w:rFonts w:hint="eastAsia" w:ascii="宋体" w:hAnsi="宋体" w:cs="宋体"/>
                <w:color w:val="auto"/>
                <w:sz w:val="21"/>
              </w:rPr>
            </w:pPr>
            <w:r>
              <w:rPr>
                <w:rFonts w:hint="eastAsia" w:ascii="宋体" w:hAnsi="宋体" w:cs="宋体"/>
                <w:color w:val="auto"/>
                <w:sz w:val="21"/>
              </w:rPr>
              <w:t>三、交提货方式：</w:t>
            </w:r>
          </w:p>
        </w:tc>
      </w:tr>
      <w:tr>
        <w:tblPrEx>
          <w:tblCellMar>
            <w:top w:w="0" w:type="dxa"/>
            <w:left w:w="0" w:type="dxa"/>
            <w:bottom w:w="0" w:type="dxa"/>
            <w:right w:w="0" w:type="dxa"/>
          </w:tblCellMar>
        </w:tblPrEx>
        <w:trPr>
          <w:wBefore w:w="0" w:type="dxa"/>
          <w:trHeight w:val="1132" w:hRule="atLeast"/>
        </w:trPr>
        <w:tc>
          <w:tcPr>
            <w:tcW w:w="9628"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rPr>
                <w:rFonts w:hint="eastAsia" w:ascii="宋体" w:hAnsi="宋体" w:cs="宋体"/>
                <w:color w:val="auto"/>
                <w:sz w:val="21"/>
              </w:rPr>
            </w:pPr>
            <w:r>
              <w:rPr>
                <w:rFonts w:hint="eastAsia" w:ascii="宋体" w:hAnsi="宋体" w:cs="宋体"/>
                <w:color w:val="auto"/>
                <w:sz w:val="21"/>
              </w:rPr>
              <w:t>四、验收标准、方法：</w:t>
            </w:r>
          </w:p>
          <w:p>
            <w:pPr>
              <w:snapToGrid w:val="0"/>
              <w:spacing w:line="240" w:lineRule="atLeast"/>
              <w:rPr>
                <w:rFonts w:hint="eastAsia" w:ascii="宋体" w:hAnsi="宋体" w:cs="宋体"/>
                <w:color w:val="auto"/>
                <w:sz w:val="21"/>
              </w:rPr>
            </w:pPr>
            <w:r>
              <w:rPr>
                <w:rFonts w:hint="eastAsia" w:ascii="宋体" w:hAnsi="宋体" w:cs="宋体"/>
                <w:color w:val="auto"/>
                <w:sz w:val="21"/>
              </w:rPr>
              <w:t>如有异议，请于      日内提出。</w:t>
            </w:r>
          </w:p>
        </w:tc>
      </w:tr>
      <w:tr>
        <w:tblPrEx>
          <w:tblCellMar>
            <w:top w:w="0" w:type="dxa"/>
            <w:left w:w="0" w:type="dxa"/>
            <w:bottom w:w="0" w:type="dxa"/>
            <w:right w:w="0" w:type="dxa"/>
          </w:tblCellMar>
        </w:tblPrEx>
        <w:trPr>
          <w:wBefore w:w="0" w:type="dxa"/>
          <w:trHeight w:val="1127" w:hRule="atLeast"/>
        </w:trPr>
        <w:tc>
          <w:tcPr>
            <w:tcW w:w="9628"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rPr>
                <w:rFonts w:hint="eastAsia" w:ascii="宋体" w:hAnsi="宋体" w:cs="宋体"/>
                <w:color w:val="auto"/>
                <w:sz w:val="21"/>
              </w:rPr>
            </w:pPr>
            <w:r>
              <w:rPr>
                <w:rFonts w:hint="eastAsia" w:ascii="宋体" w:hAnsi="宋体" w:cs="宋体"/>
                <w:color w:val="auto"/>
                <w:sz w:val="21"/>
              </w:rPr>
              <w:t>五、付款方式：</w:t>
            </w:r>
          </w:p>
          <w:p>
            <w:pPr>
              <w:snapToGrid w:val="0"/>
              <w:spacing w:line="240" w:lineRule="atLeast"/>
              <w:rPr>
                <w:rFonts w:hint="eastAsia" w:ascii="宋体" w:hAnsi="宋体" w:cs="宋体"/>
                <w:color w:val="auto"/>
                <w:sz w:val="21"/>
              </w:rPr>
            </w:pPr>
          </w:p>
        </w:tc>
      </w:tr>
      <w:tr>
        <w:tblPrEx>
          <w:tblCellMar>
            <w:top w:w="0" w:type="dxa"/>
            <w:left w:w="0" w:type="dxa"/>
            <w:bottom w:w="0" w:type="dxa"/>
            <w:right w:w="0" w:type="dxa"/>
          </w:tblCellMar>
        </w:tblPrEx>
        <w:trPr>
          <w:wBefore w:w="0" w:type="dxa"/>
          <w:trHeight w:val="1127" w:hRule="atLeast"/>
        </w:trPr>
        <w:tc>
          <w:tcPr>
            <w:tcW w:w="9628"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rPr>
                <w:rFonts w:hint="eastAsia" w:ascii="宋体" w:hAnsi="宋体" w:cs="宋体"/>
                <w:color w:val="auto"/>
                <w:sz w:val="21"/>
              </w:rPr>
            </w:pPr>
            <w:r>
              <w:rPr>
                <w:rFonts w:hint="eastAsia" w:ascii="宋体" w:hAnsi="宋体" w:cs="宋体"/>
                <w:color w:val="auto"/>
                <w:sz w:val="21"/>
              </w:rPr>
              <w:t>六、违约责任：</w:t>
            </w:r>
          </w:p>
          <w:p>
            <w:pPr>
              <w:snapToGrid w:val="0"/>
              <w:spacing w:line="240" w:lineRule="atLeast"/>
              <w:rPr>
                <w:rFonts w:hint="eastAsia" w:ascii="宋体" w:hAnsi="宋体" w:cs="宋体"/>
                <w:color w:val="auto"/>
                <w:sz w:val="21"/>
              </w:rPr>
            </w:pPr>
            <w:r>
              <w:rPr>
                <w:rFonts w:hint="eastAsia" w:ascii="宋体" w:hAnsi="宋体" w:cs="宋体"/>
                <w:color w:val="auto"/>
                <w:sz w:val="21"/>
              </w:rPr>
              <w:t>按《合同法》、《政府采购法》执行，或按双方约定。(采购人应按项目实际情况完整填写)</w:t>
            </w:r>
          </w:p>
        </w:tc>
      </w:tr>
      <w:tr>
        <w:tblPrEx>
          <w:tblCellMar>
            <w:top w:w="0" w:type="dxa"/>
            <w:left w:w="0" w:type="dxa"/>
            <w:bottom w:w="0" w:type="dxa"/>
            <w:right w:w="0" w:type="dxa"/>
          </w:tblCellMar>
        </w:tblPrEx>
        <w:trPr>
          <w:wBefore w:w="0" w:type="dxa"/>
          <w:trHeight w:val="1691" w:hRule="atLeast"/>
        </w:trPr>
        <w:tc>
          <w:tcPr>
            <w:tcW w:w="9628"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rPr>
                <w:rFonts w:hint="eastAsia" w:ascii="宋体" w:hAnsi="宋体" w:cs="宋体"/>
                <w:color w:val="auto"/>
                <w:sz w:val="21"/>
              </w:rPr>
            </w:pPr>
            <w:r>
              <w:rPr>
                <w:rFonts w:hint="eastAsia" w:ascii="宋体" w:hAnsi="宋体" w:cs="宋体"/>
                <w:color w:val="auto"/>
                <w:sz w:val="21"/>
              </w:rPr>
              <w:t>七、其他约定事项：</w:t>
            </w:r>
          </w:p>
          <w:p>
            <w:pPr>
              <w:snapToGrid w:val="0"/>
              <w:spacing w:line="240" w:lineRule="atLeast"/>
              <w:rPr>
                <w:rFonts w:hint="eastAsia" w:ascii="宋体" w:hAnsi="宋体" w:cs="宋体"/>
                <w:color w:val="auto"/>
                <w:sz w:val="21"/>
              </w:rPr>
            </w:pPr>
            <w:r>
              <w:rPr>
                <w:rFonts w:hint="eastAsia" w:ascii="宋体" w:hAnsi="宋体" w:cs="宋体"/>
                <w:color w:val="auto"/>
                <w:sz w:val="21"/>
              </w:rPr>
              <w:t>1.询价文件及其补遗文件、响应文件和承诺是本合同不可分割的部分。</w:t>
            </w:r>
          </w:p>
          <w:p>
            <w:pPr>
              <w:snapToGrid w:val="0"/>
              <w:spacing w:line="240" w:lineRule="atLeast"/>
              <w:rPr>
                <w:rFonts w:hint="eastAsia" w:ascii="宋体" w:hAnsi="宋体" w:cs="宋体"/>
                <w:color w:val="auto"/>
                <w:sz w:val="21"/>
              </w:rPr>
            </w:pPr>
            <w:r>
              <w:rPr>
                <w:rFonts w:hint="eastAsia" w:ascii="宋体" w:hAnsi="宋体" w:cs="宋体"/>
                <w:color w:val="auto"/>
                <w:sz w:val="21"/>
              </w:rPr>
              <w:t>2.本合同如发生争议由双方协商解决，协商不成向需方所在人民法院提请诉讼。</w:t>
            </w:r>
          </w:p>
          <w:p>
            <w:pPr>
              <w:snapToGrid w:val="0"/>
              <w:spacing w:line="240" w:lineRule="atLeast"/>
              <w:rPr>
                <w:rFonts w:hint="eastAsia" w:ascii="宋体" w:hAnsi="宋体" w:cs="宋体"/>
                <w:color w:val="auto"/>
                <w:sz w:val="21"/>
              </w:rPr>
            </w:pPr>
            <w:r>
              <w:rPr>
                <w:rFonts w:hint="eastAsia" w:ascii="宋体" w:hAnsi="宋体" w:cs="宋体"/>
                <w:color w:val="auto"/>
                <w:sz w:val="21"/>
              </w:rPr>
              <w:t>3.本合同一式__份， 需方__份，供方__份具备同等法律效力。</w:t>
            </w:r>
          </w:p>
          <w:p>
            <w:pPr>
              <w:snapToGrid w:val="0"/>
              <w:spacing w:line="240" w:lineRule="atLeast"/>
              <w:rPr>
                <w:rFonts w:hint="eastAsia" w:ascii="宋体" w:hAnsi="宋体" w:cs="宋体"/>
                <w:color w:val="auto"/>
                <w:sz w:val="21"/>
              </w:rPr>
            </w:pPr>
            <w:r>
              <w:rPr>
                <w:rFonts w:hint="eastAsia" w:ascii="宋体" w:hAnsi="宋体" w:cs="宋体"/>
                <w:color w:val="auto"/>
                <w:sz w:val="21"/>
              </w:rPr>
              <w:t>4.其他：</w:t>
            </w:r>
          </w:p>
        </w:tc>
      </w:tr>
      <w:tr>
        <w:tblPrEx>
          <w:tblCellMar>
            <w:top w:w="0" w:type="dxa"/>
            <w:left w:w="0" w:type="dxa"/>
            <w:bottom w:w="0" w:type="dxa"/>
            <w:right w:w="0" w:type="dxa"/>
          </w:tblCellMar>
        </w:tblPrEx>
        <w:trPr>
          <w:wBefore w:w="0" w:type="dxa"/>
          <w:trHeight w:val="4488" w:hRule="atLeast"/>
        </w:trPr>
        <w:tc>
          <w:tcPr>
            <w:tcW w:w="436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rPr>
                <w:rFonts w:hint="eastAsia" w:ascii="宋体" w:hAnsi="宋体" w:cs="宋体"/>
                <w:color w:val="auto"/>
                <w:sz w:val="21"/>
              </w:rPr>
            </w:pPr>
            <w:r>
              <w:rPr>
                <w:rFonts w:hint="eastAsia" w:ascii="宋体" w:hAnsi="宋体" w:cs="宋体"/>
                <w:color w:val="auto"/>
                <w:sz w:val="21"/>
              </w:rPr>
              <w:t>需方：</w:t>
            </w:r>
          </w:p>
          <w:p>
            <w:pPr>
              <w:snapToGrid w:val="0"/>
              <w:spacing w:line="240" w:lineRule="atLeast"/>
              <w:rPr>
                <w:rFonts w:hint="eastAsia" w:ascii="宋体" w:hAnsi="宋体" w:cs="宋体"/>
                <w:color w:val="auto"/>
                <w:sz w:val="21"/>
              </w:rPr>
            </w:pPr>
            <w:r>
              <w:rPr>
                <w:rFonts w:hint="eastAsia" w:ascii="宋体" w:hAnsi="宋体" w:cs="宋体"/>
                <w:color w:val="auto"/>
                <w:sz w:val="21"/>
              </w:rPr>
              <w:t>地址：</w:t>
            </w:r>
          </w:p>
          <w:p>
            <w:pPr>
              <w:snapToGrid w:val="0"/>
              <w:spacing w:line="240" w:lineRule="atLeast"/>
              <w:rPr>
                <w:rFonts w:hint="eastAsia" w:ascii="宋体" w:hAnsi="宋体" w:cs="宋体"/>
                <w:color w:val="auto"/>
                <w:sz w:val="21"/>
              </w:rPr>
            </w:pPr>
            <w:r>
              <w:rPr>
                <w:rFonts w:hint="eastAsia" w:ascii="宋体" w:hAnsi="宋体" w:cs="宋体"/>
                <w:color w:val="auto"/>
                <w:sz w:val="21"/>
              </w:rPr>
              <w:t>联系电话：</w:t>
            </w:r>
          </w:p>
          <w:p>
            <w:pPr>
              <w:snapToGrid w:val="0"/>
              <w:spacing w:line="240" w:lineRule="atLeast"/>
              <w:rPr>
                <w:rFonts w:hint="eastAsia" w:ascii="宋体" w:hAnsi="宋体" w:cs="宋体"/>
                <w:color w:val="auto"/>
                <w:sz w:val="21"/>
              </w:rPr>
            </w:pPr>
            <w:r>
              <w:rPr>
                <w:rFonts w:hint="eastAsia" w:ascii="宋体" w:hAnsi="宋体" w:cs="宋体"/>
                <w:color w:val="auto"/>
                <w:sz w:val="21"/>
              </w:rPr>
              <w:t>授权代表：</w:t>
            </w:r>
          </w:p>
        </w:tc>
        <w:tc>
          <w:tcPr>
            <w:tcW w:w="5267"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rPr>
                <w:rFonts w:hint="eastAsia" w:ascii="宋体" w:hAnsi="宋体" w:cs="宋体"/>
                <w:color w:val="auto"/>
                <w:sz w:val="21"/>
              </w:rPr>
            </w:pPr>
            <w:r>
              <w:rPr>
                <w:rFonts w:hint="eastAsia" w:ascii="宋体" w:hAnsi="宋体" w:cs="宋体"/>
                <w:color w:val="auto"/>
                <w:sz w:val="21"/>
              </w:rPr>
              <w:t>供方：</w:t>
            </w:r>
          </w:p>
          <w:p>
            <w:pPr>
              <w:snapToGrid w:val="0"/>
              <w:spacing w:line="240" w:lineRule="atLeast"/>
              <w:rPr>
                <w:rFonts w:hint="eastAsia" w:ascii="宋体" w:hAnsi="宋体" w:cs="宋体"/>
                <w:color w:val="auto"/>
                <w:sz w:val="21"/>
              </w:rPr>
            </w:pPr>
            <w:r>
              <w:rPr>
                <w:rFonts w:hint="eastAsia" w:ascii="宋体" w:hAnsi="宋体" w:cs="宋体"/>
                <w:color w:val="auto"/>
                <w:sz w:val="21"/>
              </w:rPr>
              <w:t>地址：</w:t>
            </w:r>
          </w:p>
          <w:p>
            <w:pPr>
              <w:snapToGrid w:val="0"/>
              <w:spacing w:line="240" w:lineRule="atLeast"/>
              <w:rPr>
                <w:rFonts w:hint="eastAsia" w:ascii="宋体" w:hAnsi="宋体" w:cs="宋体"/>
                <w:color w:val="auto"/>
                <w:sz w:val="21"/>
              </w:rPr>
            </w:pPr>
            <w:r>
              <w:rPr>
                <w:rFonts w:hint="eastAsia" w:ascii="宋体" w:hAnsi="宋体" w:cs="宋体"/>
                <w:color w:val="auto"/>
                <w:sz w:val="21"/>
              </w:rPr>
              <w:t>电话：</w:t>
            </w:r>
          </w:p>
          <w:p>
            <w:pPr>
              <w:snapToGrid w:val="0"/>
              <w:spacing w:line="240" w:lineRule="atLeast"/>
              <w:rPr>
                <w:rFonts w:hint="eastAsia" w:ascii="宋体" w:hAnsi="宋体" w:cs="宋体"/>
                <w:color w:val="auto"/>
                <w:sz w:val="21"/>
              </w:rPr>
            </w:pPr>
            <w:r>
              <w:rPr>
                <w:rFonts w:hint="eastAsia" w:ascii="宋体" w:hAnsi="宋体" w:cs="宋体"/>
                <w:color w:val="auto"/>
                <w:sz w:val="21"/>
              </w:rPr>
              <w:t>传真：</w:t>
            </w:r>
          </w:p>
          <w:p>
            <w:pPr>
              <w:snapToGrid w:val="0"/>
              <w:spacing w:line="240" w:lineRule="atLeast"/>
              <w:rPr>
                <w:rFonts w:hint="eastAsia" w:ascii="宋体" w:hAnsi="宋体" w:cs="宋体"/>
                <w:color w:val="auto"/>
                <w:sz w:val="21"/>
              </w:rPr>
            </w:pPr>
            <w:r>
              <w:rPr>
                <w:rFonts w:hint="eastAsia" w:ascii="宋体" w:hAnsi="宋体" w:cs="宋体"/>
                <w:color w:val="auto"/>
                <w:sz w:val="21"/>
              </w:rPr>
              <w:t>开户银行：</w:t>
            </w:r>
          </w:p>
          <w:p>
            <w:pPr>
              <w:snapToGrid w:val="0"/>
              <w:spacing w:line="240" w:lineRule="atLeast"/>
              <w:rPr>
                <w:rFonts w:hint="eastAsia" w:ascii="宋体" w:hAnsi="宋体" w:cs="宋体"/>
                <w:color w:val="auto"/>
                <w:sz w:val="21"/>
              </w:rPr>
            </w:pPr>
            <w:r>
              <w:rPr>
                <w:rFonts w:hint="eastAsia" w:ascii="宋体" w:hAnsi="宋体" w:cs="宋体"/>
                <w:color w:val="auto"/>
                <w:sz w:val="21"/>
              </w:rPr>
              <w:t>账号：</w:t>
            </w:r>
          </w:p>
          <w:p>
            <w:pPr>
              <w:snapToGrid w:val="0"/>
              <w:spacing w:line="240" w:lineRule="atLeast"/>
              <w:rPr>
                <w:rFonts w:hint="eastAsia" w:ascii="宋体" w:hAnsi="宋体" w:cs="宋体"/>
                <w:color w:val="auto"/>
                <w:sz w:val="21"/>
              </w:rPr>
            </w:pPr>
            <w:r>
              <w:rPr>
                <w:rFonts w:hint="eastAsia" w:ascii="宋体" w:hAnsi="宋体" w:cs="宋体"/>
                <w:color w:val="auto"/>
                <w:sz w:val="21"/>
              </w:rPr>
              <w:t>授权代表：</w:t>
            </w:r>
          </w:p>
          <w:p>
            <w:pPr>
              <w:snapToGrid w:val="0"/>
              <w:spacing w:line="240" w:lineRule="atLeast"/>
              <w:rPr>
                <w:rFonts w:hint="eastAsia" w:ascii="宋体" w:hAnsi="宋体" w:cs="宋体"/>
                <w:color w:val="auto"/>
                <w:sz w:val="21"/>
              </w:rPr>
            </w:pPr>
            <w:r>
              <w:rPr>
                <w:rFonts w:hint="eastAsia" w:ascii="宋体" w:hAnsi="宋体" w:cs="宋体"/>
                <w:color w:val="auto"/>
                <w:sz w:val="21"/>
              </w:rPr>
              <w:t>（本栏请用计算机打印以便于准确付款）</w:t>
            </w:r>
          </w:p>
          <w:p>
            <w:pPr>
              <w:widowControl/>
              <w:snapToGrid w:val="0"/>
              <w:spacing w:line="240" w:lineRule="atLeast"/>
              <w:jc w:val="left"/>
              <w:rPr>
                <w:rFonts w:hint="eastAsia" w:ascii="宋体" w:hAnsi="宋体" w:cs="宋体"/>
                <w:color w:val="auto"/>
                <w:sz w:val="21"/>
              </w:rPr>
            </w:pPr>
          </w:p>
          <w:p>
            <w:pPr>
              <w:snapToGrid w:val="0"/>
              <w:spacing w:line="240" w:lineRule="atLeast"/>
              <w:rPr>
                <w:rFonts w:hint="eastAsia" w:ascii="宋体" w:hAnsi="宋体" w:cs="宋体"/>
                <w:color w:val="auto"/>
                <w:sz w:val="21"/>
              </w:rPr>
            </w:pPr>
          </w:p>
        </w:tc>
      </w:tr>
      <w:tr>
        <w:tblPrEx>
          <w:tblCellMar>
            <w:top w:w="0" w:type="dxa"/>
            <w:left w:w="0" w:type="dxa"/>
            <w:bottom w:w="0" w:type="dxa"/>
            <w:right w:w="0" w:type="dxa"/>
          </w:tblCellMar>
        </w:tblPrEx>
        <w:trPr>
          <w:wBefore w:w="0" w:type="dxa"/>
          <w:trHeight w:val="882" w:hRule="atLeast"/>
        </w:trPr>
        <w:tc>
          <w:tcPr>
            <w:tcW w:w="9628"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rPr>
                <w:rFonts w:hint="eastAsia" w:ascii="宋体" w:hAnsi="宋体" w:cs="宋体"/>
                <w:color w:val="auto"/>
                <w:sz w:val="21"/>
              </w:rPr>
            </w:pPr>
            <w:r>
              <w:rPr>
                <w:rFonts w:hint="eastAsia" w:ascii="宋体" w:hAnsi="宋体" w:cs="宋体"/>
                <w:color w:val="auto"/>
                <w:sz w:val="21"/>
              </w:rPr>
              <w:t>备注：</w:t>
            </w:r>
          </w:p>
          <w:p>
            <w:pPr>
              <w:snapToGrid w:val="0"/>
              <w:spacing w:line="240" w:lineRule="atLeast"/>
              <w:rPr>
                <w:rFonts w:hint="eastAsia" w:ascii="宋体" w:hAnsi="宋体" w:cs="宋体"/>
                <w:color w:val="auto"/>
                <w:sz w:val="21"/>
              </w:rPr>
            </w:pPr>
          </w:p>
          <w:p>
            <w:pPr>
              <w:snapToGrid w:val="0"/>
              <w:spacing w:line="240" w:lineRule="atLeast"/>
              <w:rPr>
                <w:rFonts w:hint="eastAsia" w:ascii="宋体" w:hAnsi="宋体" w:cs="宋体"/>
                <w:color w:val="auto"/>
                <w:sz w:val="21"/>
              </w:rPr>
            </w:pPr>
          </w:p>
        </w:tc>
      </w:tr>
    </w:tbl>
    <w:p>
      <w:pPr>
        <w:snapToGrid w:val="0"/>
        <w:spacing w:line="500" w:lineRule="exact"/>
        <w:ind w:firstLine="480"/>
        <w:rPr>
          <w:rFonts w:hint="eastAsia" w:ascii="宋体" w:hAnsi="宋体" w:cs="宋体"/>
          <w:color w:val="auto"/>
          <w:sz w:val="24"/>
        </w:rPr>
      </w:pPr>
      <w:r>
        <w:rPr>
          <w:rFonts w:hint="eastAsia" w:ascii="宋体" w:hAnsi="宋体" w:cs="宋体"/>
          <w:color w:val="auto"/>
          <w:sz w:val="24"/>
        </w:rPr>
        <w:t>签约时间：           年   月   日      签约地点：</w:t>
      </w:r>
    </w:p>
    <w:p>
      <w:pPr>
        <w:snapToGrid w:val="0"/>
        <w:spacing w:line="500" w:lineRule="exact"/>
        <w:ind w:firstLine="480"/>
        <w:rPr>
          <w:rFonts w:hint="eastAsia" w:ascii="宋体" w:hAnsi="宋体" w:cs="宋体"/>
          <w:color w:val="auto"/>
        </w:rPr>
        <w:sectPr>
          <w:headerReference r:id="rId10" w:type="default"/>
          <w:pgSz w:w="11907" w:h="16840"/>
          <w:pgMar w:top="1134" w:right="1191" w:bottom="1134" w:left="1304" w:header="964" w:footer="992" w:gutter="0"/>
          <w:cols w:space="720" w:num="1"/>
          <w:docGrid w:linePitch="312" w:charSpace="0"/>
        </w:sectPr>
      </w:pPr>
    </w:p>
    <w:p>
      <w:pPr>
        <w:keepNext/>
        <w:tabs>
          <w:tab w:val="left" w:pos="3360"/>
        </w:tabs>
        <w:snapToGrid w:val="0"/>
        <w:spacing w:line="360" w:lineRule="auto"/>
        <w:jc w:val="center"/>
        <w:outlineLvl w:val="0"/>
        <w:rPr>
          <w:rFonts w:hint="eastAsia" w:ascii="宋体" w:hAnsi="宋体" w:cs="宋体"/>
          <w:b/>
          <w:color w:val="auto"/>
          <w:sz w:val="44"/>
        </w:rPr>
      </w:pPr>
      <w:bookmarkStart w:id="34" w:name="_Toc10249"/>
      <w:r>
        <w:rPr>
          <w:rFonts w:hint="eastAsia" w:ascii="宋体" w:hAnsi="宋体" w:cs="宋体"/>
          <w:b/>
          <w:color w:val="auto"/>
          <w:sz w:val="44"/>
        </w:rPr>
        <w:t>第六篇  响应文件格式</w:t>
      </w:r>
      <w:bookmarkEnd w:id="34"/>
    </w:p>
    <w:p>
      <w:pPr>
        <w:snapToGrid w:val="0"/>
        <w:spacing w:line="440" w:lineRule="exact"/>
        <w:ind w:firstLine="482"/>
        <w:rPr>
          <w:rFonts w:hint="eastAsia" w:ascii="宋体" w:hAnsi="宋体" w:cs="宋体"/>
          <w:b/>
          <w:color w:val="auto"/>
          <w:sz w:val="24"/>
        </w:rPr>
      </w:pPr>
      <w:r>
        <w:rPr>
          <w:rFonts w:hint="eastAsia" w:ascii="宋体" w:hAnsi="宋体" w:cs="宋体"/>
          <w:b/>
          <w:color w:val="auto"/>
          <w:sz w:val="24"/>
        </w:rPr>
        <w:t>一、经济文件</w:t>
      </w:r>
    </w:p>
    <w:p>
      <w:pPr>
        <w:snapToGrid w:val="0"/>
        <w:spacing w:line="440" w:lineRule="exact"/>
        <w:ind w:firstLine="480"/>
        <w:rPr>
          <w:rFonts w:hint="eastAsia" w:ascii="宋体" w:hAnsi="宋体" w:cs="宋体"/>
          <w:color w:val="auto"/>
          <w:sz w:val="24"/>
        </w:rPr>
      </w:pPr>
      <w:r>
        <w:rPr>
          <w:rFonts w:hint="eastAsia" w:ascii="宋体" w:hAnsi="宋体" w:cs="宋体"/>
          <w:color w:val="auto"/>
          <w:sz w:val="24"/>
        </w:rPr>
        <w:t>（一）报价一览表</w:t>
      </w:r>
    </w:p>
    <w:p>
      <w:pPr>
        <w:pStyle w:val="2"/>
        <w:ind w:firstLine="480" w:firstLineChars="200"/>
        <w:rPr>
          <w:rFonts w:hint="eastAsia" w:ascii="宋体" w:hAnsi="宋体" w:cs="宋体"/>
          <w:color w:val="auto"/>
          <w:sz w:val="24"/>
          <w:szCs w:val="24"/>
        </w:rPr>
      </w:pPr>
      <w:r>
        <w:rPr>
          <w:rFonts w:hint="eastAsia" w:ascii="宋体" w:hAnsi="宋体" w:cs="宋体"/>
          <w:color w:val="auto"/>
          <w:sz w:val="24"/>
        </w:rPr>
        <w:t>（二）</w:t>
      </w:r>
      <w:r>
        <w:rPr>
          <w:rFonts w:hint="eastAsia" w:ascii="宋体" w:hAnsi="宋体" w:cs="宋体"/>
          <w:color w:val="auto"/>
          <w:sz w:val="24"/>
          <w:szCs w:val="24"/>
        </w:rPr>
        <w:t>明细报价表</w:t>
      </w:r>
    </w:p>
    <w:p>
      <w:pPr>
        <w:pStyle w:val="2"/>
        <w:ind w:firstLine="480" w:firstLineChars="200"/>
        <w:rPr>
          <w:rFonts w:hint="eastAsia" w:ascii="宋体" w:hAnsi="宋体" w:cs="宋体"/>
          <w:color w:val="auto"/>
          <w:sz w:val="24"/>
          <w:szCs w:val="22"/>
        </w:rPr>
      </w:pPr>
      <w:r>
        <w:rPr>
          <w:rFonts w:hint="eastAsia" w:ascii="宋体" w:hAnsi="宋体" w:cs="宋体"/>
          <w:color w:val="auto"/>
          <w:sz w:val="24"/>
          <w:szCs w:val="22"/>
        </w:rPr>
        <w:t>（</w:t>
      </w:r>
      <w:r>
        <w:rPr>
          <w:rFonts w:hint="eastAsia" w:ascii="宋体" w:hAnsi="宋体" w:cs="宋体"/>
          <w:color w:val="auto"/>
          <w:sz w:val="24"/>
          <w:szCs w:val="22"/>
          <w:lang w:val="en-US" w:eastAsia="zh-CN"/>
        </w:rPr>
        <w:t>三</w:t>
      </w:r>
      <w:r>
        <w:rPr>
          <w:rFonts w:hint="eastAsia" w:ascii="宋体" w:hAnsi="宋体" w:cs="宋体"/>
          <w:color w:val="auto"/>
          <w:sz w:val="24"/>
          <w:szCs w:val="22"/>
        </w:rPr>
        <w:t>）其他</w:t>
      </w:r>
    </w:p>
    <w:p>
      <w:pPr>
        <w:snapToGrid w:val="0"/>
        <w:spacing w:line="440" w:lineRule="exact"/>
        <w:ind w:firstLine="482"/>
        <w:rPr>
          <w:rFonts w:hint="eastAsia" w:ascii="宋体" w:hAnsi="宋体" w:cs="宋体"/>
          <w:b/>
          <w:color w:val="auto"/>
          <w:sz w:val="24"/>
        </w:rPr>
      </w:pPr>
      <w:r>
        <w:rPr>
          <w:rFonts w:hint="eastAsia" w:ascii="宋体" w:hAnsi="宋体" w:cs="宋体"/>
          <w:b/>
          <w:color w:val="auto"/>
          <w:sz w:val="24"/>
        </w:rPr>
        <w:t>二、技术文件</w:t>
      </w:r>
    </w:p>
    <w:p>
      <w:pPr>
        <w:snapToGrid w:val="0"/>
        <w:spacing w:line="500" w:lineRule="exact"/>
        <w:ind w:firstLine="480"/>
        <w:rPr>
          <w:rFonts w:hint="eastAsia" w:ascii="宋体" w:hAnsi="宋体" w:cs="宋体"/>
          <w:color w:val="auto"/>
          <w:sz w:val="24"/>
        </w:rPr>
      </w:pPr>
      <w:r>
        <w:rPr>
          <w:rFonts w:hint="eastAsia" w:ascii="宋体" w:hAnsi="宋体" w:cs="宋体"/>
          <w:color w:val="auto"/>
          <w:sz w:val="24"/>
        </w:rPr>
        <w:t>（一）技术条款差异表</w:t>
      </w:r>
    </w:p>
    <w:p>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szCs w:val="22"/>
        </w:rPr>
        <w:t>（二）其</w:t>
      </w:r>
      <w:r>
        <w:rPr>
          <w:rFonts w:hint="eastAsia" w:ascii="宋体" w:hAnsi="宋体" w:cs="宋体"/>
          <w:color w:val="auto"/>
          <w:sz w:val="24"/>
          <w:szCs w:val="22"/>
          <w:lang w:val="en-US" w:eastAsia="zh-CN"/>
        </w:rPr>
        <w:t>他</w:t>
      </w:r>
      <w:r>
        <w:rPr>
          <w:rFonts w:hint="eastAsia" w:ascii="宋体" w:hAnsi="宋体" w:cs="宋体"/>
          <w:color w:val="auto"/>
          <w:sz w:val="24"/>
          <w:szCs w:val="22"/>
        </w:rPr>
        <w:t>资料</w:t>
      </w:r>
    </w:p>
    <w:p>
      <w:pPr>
        <w:snapToGrid w:val="0"/>
        <w:spacing w:line="440" w:lineRule="exact"/>
        <w:ind w:firstLine="482"/>
        <w:rPr>
          <w:rFonts w:hint="eastAsia" w:ascii="宋体" w:hAnsi="宋体" w:cs="宋体"/>
          <w:b/>
          <w:color w:val="auto"/>
          <w:sz w:val="24"/>
        </w:rPr>
      </w:pPr>
      <w:r>
        <w:rPr>
          <w:rFonts w:hint="eastAsia" w:ascii="宋体" w:hAnsi="宋体" w:cs="宋体"/>
          <w:b/>
          <w:color w:val="auto"/>
          <w:sz w:val="24"/>
        </w:rPr>
        <w:t>三、商务文件</w:t>
      </w:r>
    </w:p>
    <w:p>
      <w:pPr>
        <w:snapToGrid w:val="0"/>
        <w:spacing w:line="440" w:lineRule="exact"/>
        <w:ind w:firstLine="480"/>
        <w:rPr>
          <w:rFonts w:hint="eastAsia" w:ascii="宋体" w:hAnsi="宋体" w:cs="宋体"/>
          <w:color w:val="auto"/>
          <w:sz w:val="24"/>
        </w:rPr>
      </w:pPr>
      <w:r>
        <w:rPr>
          <w:rFonts w:hint="eastAsia" w:ascii="宋体" w:hAnsi="宋体" w:cs="宋体"/>
          <w:color w:val="auto"/>
          <w:sz w:val="24"/>
        </w:rPr>
        <w:t>（一）报价函（格式）</w:t>
      </w:r>
    </w:p>
    <w:p>
      <w:pPr>
        <w:snapToGrid w:val="0"/>
        <w:spacing w:line="440" w:lineRule="exact"/>
        <w:ind w:firstLine="480"/>
        <w:rPr>
          <w:rFonts w:hint="eastAsia" w:ascii="宋体" w:hAnsi="宋体" w:cs="宋体"/>
          <w:color w:val="auto"/>
          <w:sz w:val="24"/>
        </w:rPr>
      </w:pPr>
      <w:r>
        <w:rPr>
          <w:rFonts w:hint="eastAsia" w:ascii="宋体" w:hAnsi="宋体" w:cs="宋体"/>
          <w:color w:val="auto"/>
          <w:sz w:val="24"/>
        </w:rPr>
        <w:t>（二）商务条款差异表</w:t>
      </w:r>
    </w:p>
    <w:p>
      <w:pPr>
        <w:snapToGrid w:val="0"/>
        <w:spacing w:line="440" w:lineRule="exact"/>
        <w:ind w:firstLine="480"/>
        <w:rPr>
          <w:rFonts w:hint="eastAsia" w:ascii="宋体" w:hAnsi="宋体" w:cs="宋体"/>
          <w:color w:val="auto"/>
          <w:sz w:val="24"/>
        </w:rPr>
      </w:pPr>
      <w:r>
        <w:rPr>
          <w:rFonts w:hint="eastAsia" w:ascii="宋体" w:hAnsi="宋体" w:cs="宋体"/>
          <w:color w:val="auto"/>
          <w:sz w:val="24"/>
        </w:rPr>
        <w:t>（三）其他</w:t>
      </w:r>
    </w:p>
    <w:p>
      <w:pPr>
        <w:snapToGrid w:val="0"/>
        <w:spacing w:line="440" w:lineRule="exact"/>
        <w:ind w:firstLine="482"/>
        <w:rPr>
          <w:rFonts w:hint="eastAsia" w:ascii="宋体" w:hAnsi="宋体" w:cs="宋体"/>
          <w:b/>
          <w:color w:val="auto"/>
          <w:sz w:val="24"/>
        </w:rPr>
      </w:pPr>
      <w:r>
        <w:rPr>
          <w:rFonts w:hint="eastAsia" w:ascii="宋体" w:hAnsi="宋体" w:cs="宋体"/>
          <w:b/>
          <w:color w:val="auto"/>
          <w:sz w:val="24"/>
        </w:rPr>
        <w:t>四、资格文件</w:t>
      </w:r>
    </w:p>
    <w:p>
      <w:pPr>
        <w:snapToGrid w:val="0"/>
        <w:spacing w:line="440" w:lineRule="exact"/>
        <w:ind w:firstLine="480"/>
        <w:rPr>
          <w:rFonts w:hint="eastAsia" w:ascii="宋体" w:hAnsi="宋体" w:cs="宋体"/>
          <w:color w:val="auto"/>
          <w:sz w:val="24"/>
        </w:rPr>
      </w:pPr>
      <w:r>
        <w:rPr>
          <w:rFonts w:hint="eastAsia" w:ascii="宋体" w:hAnsi="宋体" w:cs="宋体"/>
          <w:color w:val="auto"/>
          <w:sz w:val="24"/>
        </w:rPr>
        <w:t>（一）营业执照（副本）或事业单位法人证书（副本）或个体工商户营业执照或有效的自然人身份证明或社会团体法人登记证书复印件</w:t>
      </w:r>
    </w:p>
    <w:p>
      <w:pPr>
        <w:snapToGrid w:val="0"/>
        <w:spacing w:line="440" w:lineRule="exact"/>
        <w:ind w:firstLine="48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二</w:t>
      </w:r>
      <w:r>
        <w:rPr>
          <w:rFonts w:hint="eastAsia" w:ascii="宋体" w:hAnsi="宋体" w:cs="宋体"/>
          <w:color w:val="auto"/>
          <w:sz w:val="24"/>
        </w:rPr>
        <w:t>）法定代表人身份证明书（格式）</w:t>
      </w:r>
    </w:p>
    <w:p>
      <w:pPr>
        <w:snapToGrid w:val="0"/>
        <w:spacing w:line="440" w:lineRule="exact"/>
        <w:ind w:firstLine="48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三</w:t>
      </w:r>
      <w:r>
        <w:rPr>
          <w:rFonts w:hint="eastAsia" w:ascii="宋体" w:hAnsi="宋体" w:cs="宋体"/>
          <w:color w:val="auto"/>
          <w:sz w:val="24"/>
        </w:rPr>
        <w:t>）法定代表人授权委托书（格式）</w:t>
      </w:r>
    </w:p>
    <w:p>
      <w:pPr>
        <w:snapToGrid w:val="0"/>
        <w:spacing w:line="440" w:lineRule="exact"/>
        <w:ind w:firstLine="48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四</w:t>
      </w:r>
      <w:r>
        <w:rPr>
          <w:rFonts w:hint="eastAsia" w:ascii="宋体" w:hAnsi="宋体" w:cs="宋体"/>
          <w:color w:val="auto"/>
          <w:sz w:val="24"/>
        </w:rPr>
        <w:t>）基本资格条件承诺函（格式）</w:t>
      </w:r>
    </w:p>
    <w:p>
      <w:pPr>
        <w:snapToGrid w:val="0"/>
        <w:spacing w:line="440" w:lineRule="exact"/>
        <w:ind w:firstLine="480"/>
        <w:rPr>
          <w:rFonts w:hint="eastAsia" w:ascii="宋体" w:hAnsi="宋体" w:cs="宋体"/>
          <w:color w:val="auto"/>
          <w:sz w:val="24"/>
          <w:szCs w:val="22"/>
        </w:rPr>
      </w:pPr>
      <w:r>
        <w:rPr>
          <w:rFonts w:hint="eastAsia" w:ascii="宋体" w:hAnsi="宋体" w:cs="宋体"/>
          <w:color w:val="auto"/>
          <w:sz w:val="24"/>
          <w:lang w:eastAsia="zh-CN"/>
        </w:rPr>
        <w:t>（</w:t>
      </w:r>
      <w:r>
        <w:rPr>
          <w:rFonts w:hint="eastAsia" w:ascii="宋体" w:hAnsi="宋体" w:cs="宋体"/>
          <w:color w:val="auto"/>
          <w:sz w:val="24"/>
          <w:lang w:val="en-US" w:eastAsia="zh-CN"/>
        </w:rPr>
        <w:t>五</w:t>
      </w:r>
      <w:r>
        <w:rPr>
          <w:rFonts w:hint="eastAsia" w:ascii="宋体" w:hAnsi="宋体" w:cs="宋体"/>
          <w:color w:val="auto"/>
          <w:sz w:val="24"/>
          <w:lang w:eastAsia="zh-CN"/>
        </w:rPr>
        <w:t>）</w:t>
      </w:r>
      <w:r>
        <w:rPr>
          <w:rFonts w:hint="eastAsia" w:ascii="宋体" w:hAnsi="宋体" w:cs="宋体"/>
          <w:color w:val="auto"/>
          <w:sz w:val="24"/>
          <w:szCs w:val="22"/>
        </w:rPr>
        <w:t>特定资格条件证书或证明文件</w:t>
      </w:r>
    </w:p>
    <w:p>
      <w:pPr>
        <w:snapToGrid w:val="0"/>
        <w:spacing w:line="440" w:lineRule="exact"/>
        <w:ind w:firstLine="480"/>
        <w:rPr>
          <w:rFonts w:hint="eastAsia" w:ascii="宋体" w:hAnsi="宋体" w:cs="宋体"/>
          <w:color w:val="auto"/>
          <w:sz w:val="24"/>
        </w:rPr>
      </w:pPr>
    </w:p>
    <w:p>
      <w:pPr>
        <w:pageBreakBefore/>
        <w:snapToGrid w:val="0"/>
        <w:spacing w:line="360" w:lineRule="auto"/>
        <w:rPr>
          <w:rFonts w:hint="eastAsia" w:ascii="宋体" w:hAnsi="宋体" w:cs="宋体"/>
          <w:color w:val="auto"/>
        </w:rPr>
      </w:pPr>
      <w:r>
        <w:rPr>
          <w:rFonts w:hint="eastAsia" w:ascii="宋体" w:hAnsi="宋体" w:cs="宋体"/>
          <w:color w:val="auto"/>
        </w:rPr>
        <w:t>一、经济文件</w:t>
      </w:r>
    </w:p>
    <w:p>
      <w:pPr>
        <w:snapToGrid w:val="0"/>
        <w:spacing w:line="500" w:lineRule="exact"/>
        <w:jc w:val="center"/>
        <w:rPr>
          <w:rFonts w:hint="eastAsia" w:ascii="宋体" w:hAnsi="宋体" w:cs="宋体"/>
          <w:color w:val="auto"/>
          <w:sz w:val="24"/>
          <w:szCs w:val="24"/>
        </w:rPr>
      </w:pPr>
      <w:r>
        <w:rPr>
          <w:rFonts w:hint="eastAsia" w:ascii="宋体" w:hAnsi="宋体" w:cs="宋体"/>
          <w:color w:val="auto"/>
          <w:sz w:val="24"/>
          <w:szCs w:val="24"/>
        </w:rPr>
        <w:t>（一）报价一览表</w:t>
      </w:r>
    </w:p>
    <w:p>
      <w:pPr>
        <w:snapToGrid w:val="0"/>
        <w:spacing w:line="500" w:lineRule="exact"/>
        <w:jc w:val="both"/>
        <w:rPr>
          <w:rFonts w:hint="eastAsia" w:ascii="宋体" w:hAnsi="宋体" w:cs="宋体"/>
          <w:color w:val="auto"/>
          <w:sz w:val="24"/>
          <w:szCs w:val="24"/>
        </w:rPr>
      </w:pPr>
      <w:r>
        <w:rPr>
          <w:rFonts w:hint="eastAsia" w:ascii="宋体" w:hAnsi="宋体" w:cs="宋体"/>
          <w:color w:val="auto"/>
          <w:sz w:val="24"/>
          <w:szCs w:val="24"/>
        </w:rPr>
        <w:t xml:space="preserve">项目名称：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单位：元</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00" w:hRule="atLeast"/>
        </w:trPr>
        <w:tc>
          <w:tcPr>
            <w:tcW w:w="1809" w:type="dxa"/>
            <w:noWrap w:val="0"/>
            <w:vAlign w:val="center"/>
          </w:tcPr>
          <w:p>
            <w:pPr>
              <w:spacing w:line="500" w:lineRule="exact"/>
              <w:jc w:val="center"/>
              <w:rPr>
                <w:rFonts w:hint="eastAsia" w:ascii="宋体" w:hAnsi="宋体" w:cs="宋体"/>
                <w:color w:val="auto"/>
                <w:sz w:val="21"/>
                <w:szCs w:val="28"/>
              </w:rPr>
            </w:pPr>
            <w:r>
              <w:rPr>
                <w:rFonts w:hint="eastAsia" w:ascii="宋体" w:hAnsi="宋体" w:cs="宋体"/>
                <w:color w:val="auto"/>
                <w:sz w:val="21"/>
                <w:szCs w:val="28"/>
              </w:rPr>
              <w:t>供应商名称</w:t>
            </w:r>
          </w:p>
        </w:tc>
        <w:tc>
          <w:tcPr>
            <w:tcW w:w="8398" w:type="dxa"/>
            <w:noWrap w:val="0"/>
            <w:vAlign w:val="center"/>
          </w:tcPr>
          <w:p>
            <w:pPr>
              <w:spacing w:line="500" w:lineRule="exact"/>
              <w:jc w:val="center"/>
              <w:rPr>
                <w:rFonts w:hint="eastAsia" w:ascii="宋体" w:hAnsi="宋体" w:cs="宋体"/>
                <w:color w:val="auto"/>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10" w:hRule="atLeast"/>
        </w:trPr>
        <w:tc>
          <w:tcPr>
            <w:tcW w:w="10207" w:type="dxa"/>
            <w:gridSpan w:val="2"/>
            <w:tcBorders>
              <w:bottom w:val="single" w:color="auto" w:sz="4" w:space="0"/>
            </w:tcBorders>
            <w:noWrap w:val="0"/>
            <w:vAlign w:val="center"/>
          </w:tcPr>
          <w:p>
            <w:pPr>
              <w:spacing w:line="500" w:lineRule="exact"/>
              <w:rPr>
                <w:rFonts w:hint="eastAsia" w:ascii="宋体" w:hAnsi="宋体" w:cs="宋体"/>
                <w:color w:val="auto"/>
                <w:sz w:val="21"/>
                <w:szCs w:val="28"/>
              </w:rPr>
            </w:pPr>
            <w:r>
              <w:rPr>
                <w:rFonts w:hint="eastAsia" w:ascii="宋体" w:hAnsi="宋体" w:cs="宋体"/>
                <w:color w:val="auto"/>
                <w:sz w:val="21"/>
                <w:szCs w:val="28"/>
              </w:rPr>
              <w:t>响应总报价（小写）：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38" w:hRule="atLeast"/>
        </w:trPr>
        <w:tc>
          <w:tcPr>
            <w:tcW w:w="10207" w:type="dxa"/>
            <w:gridSpan w:val="2"/>
            <w:tcBorders>
              <w:bottom w:val="single" w:color="auto" w:sz="4" w:space="0"/>
            </w:tcBorders>
            <w:noWrap w:val="0"/>
            <w:vAlign w:val="center"/>
          </w:tcPr>
          <w:p>
            <w:pPr>
              <w:spacing w:line="560" w:lineRule="exact"/>
              <w:rPr>
                <w:rFonts w:hint="eastAsia" w:ascii="宋体" w:hAnsi="宋体" w:cs="宋体"/>
                <w:color w:val="auto"/>
                <w:sz w:val="21"/>
                <w:szCs w:val="28"/>
              </w:rPr>
            </w:pPr>
            <w:r>
              <w:rPr>
                <w:rFonts w:hint="eastAsia" w:ascii="宋体" w:hAnsi="宋体" w:cs="宋体"/>
                <w:color w:val="auto"/>
                <w:sz w:val="21"/>
                <w:szCs w:val="28"/>
              </w:rPr>
              <w:t xml:space="preserve">响应总报价（大写）：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50" w:hRule="atLeast"/>
        </w:trPr>
        <w:tc>
          <w:tcPr>
            <w:tcW w:w="10207" w:type="dxa"/>
            <w:gridSpan w:val="2"/>
            <w:noWrap w:val="0"/>
            <w:vAlign w:val="center"/>
          </w:tcPr>
          <w:p>
            <w:pPr>
              <w:pStyle w:val="40"/>
              <w:spacing w:line="500" w:lineRule="exact"/>
              <w:rPr>
                <w:rFonts w:hint="eastAsia" w:ascii="宋体" w:hAnsi="宋体" w:cs="宋体"/>
                <w:color w:val="auto"/>
                <w:sz w:val="21"/>
                <w:szCs w:val="28"/>
              </w:rPr>
            </w:pPr>
            <w:r>
              <w:rPr>
                <w:rFonts w:hint="eastAsia" w:ascii="宋体" w:hAnsi="宋体" w:cs="宋体"/>
                <w:color w:val="auto"/>
                <w:sz w:val="21"/>
                <w:szCs w:val="28"/>
              </w:rPr>
              <w:t xml:space="preserve">备注： </w:t>
            </w:r>
          </w:p>
        </w:tc>
      </w:tr>
    </w:tbl>
    <w:p>
      <w:pPr>
        <w:snapToGrid w:val="0"/>
        <w:spacing w:line="500" w:lineRule="exact"/>
        <w:rPr>
          <w:rFonts w:hint="eastAsia" w:ascii="宋体" w:hAnsi="宋体" w:cs="宋体"/>
          <w:color w:val="auto"/>
          <w:sz w:val="24"/>
        </w:rPr>
      </w:pPr>
    </w:p>
    <w:p>
      <w:pPr>
        <w:snapToGrid w:val="0"/>
        <w:spacing w:line="500" w:lineRule="exact"/>
        <w:ind w:firstLine="480"/>
        <w:rPr>
          <w:rFonts w:hint="eastAsia" w:ascii="宋体" w:hAnsi="宋体" w:cs="宋体"/>
          <w:color w:val="auto"/>
          <w:sz w:val="24"/>
        </w:rPr>
      </w:pPr>
      <w:r>
        <w:rPr>
          <w:rFonts w:hint="eastAsia" w:ascii="宋体" w:hAnsi="宋体" w:cs="宋体"/>
          <w:color w:val="auto"/>
          <w:sz w:val="24"/>
        </w:rPr>
        <w:t>供应商                               法定代表人或法定代表人授权代表：</w:t>
      </w:r>
    </w:p>
    <w:p>
      <w:pPr>
        <w:snapToGrid w:val="0"/>
        <w:spacing w:line="500" w:lineRule="exact"/>
        <w:rPr>
          <w:rFonts w:hint="eastAsia" w:ascii="宋体" w:hAnsi="宋体" w:cs="宋体"/>
          <w:color w:val="auto"/>
          <w:sz w:val="24"/>
        </w:rPr>
      </w:pPr>
      <w:r>
        <w:rPr>
          <w:rFonts w:hint="eastAsia" w:ascii="宋体" w:hAnsi="宋体" w:cs="宋体"/>
          <w:color w:val="auto"/>
          <w:sz w:val="24"/>
        </w:rPr>
        <w:t xml:space="preserve">  （供应商公章）                               （签字或盖章）</w:t>
      </w:r>
    </w:p>
    <w:p>
      <w:pPr>
        <w:snapToGrid w:val="0"/>
        <w:spacing w:line="500" w:lineRule="exact"/>
        <w:rPr>
          <w:rFonts w:hint="eastAsia" w:ascii="宋体" w:hAnsi="宋体" w:cs="宋体"/>
          <w:color w:val="auto"/>
          <w:sz w:val="24"/>
        </w:rPr>
      </w:pPr>
    </w:p>
    <w:p>
      <w:pPr>
        <w:snapToGrid w:val="0"/>
        <w:spacing w:line="500" w:lineRule="exact"/>
        <w:rPr>
          <w:rFonts w:hint="eastAsia" w:ascii="宋体" w:hAnsi="宋体" w:cs="宋体"/>
          <w:color w:val="auto"/>
          <w:sz w:val="24"/>
        </w:rPr>
      </w:pPr>
    </w:p>
    <w:p>
      <w:pPr>
        <w:snapToGrid w:val="0"/>
        <w:spacing w:line="500" w:lineRule="exact"/>
        <w:rPr>
          <w:rFonts w:hint="eastAsia" w:ascii="宋体" w:hAnsi="宋体" w:cs="宋体"/>
          <w:color w:val="auto"/>
          <w:sz w:val="24"/>
        </w:rPr>
      </w:pPr>
      <w:r>
        <w:rPr>
          <w:rFonts w:hint="eastAsia" w:ascii="宋体" w:hAnsi="宋体" w:cs="宋体"/>
          <w:color w:val="auto"/>
          <w:sz w:val="24"/>
        </w:rPr>
        <w:t xml:space="preserve">                                            年     月     日</w:t>
      </w:r>
    </w:p>
    <w:p>
      <w:pPr>
        <w:snapToGrid w:val="0"/>
        <w:spacing w:line="500" w:lineRule="exact"/>
        <w:ind w:firstLine="480"/>
        <w:rPr>
          <w:rFonts w:hint="eastAsia" w:ascii="宋体" w:hAnsi="宋体" w:cs="宋体"/>
          <w:color w:val="auto"/>
          <w:sz w:val="24"/>
        </w:rPr>
      </w:pPr>
    </w:p>
    <w:p>
      <w:pPr>
        <w:snapToGrid w:val="0"/>
        <w:spacing w:line="500" w:lineRule="exact"/>
        <w:ind w:firstLine="480"/>
        <w:rPr>
          <w:rFonts w:hint="eastAsia" w:ascii="宋体" w:hAnsi="宋体" w:cs="宋体"/>
          <w:color w:val="auto"/>
          <w:sz w:val="24"/>
        </w:rPr>
      </w:pPr>
    </w:p>
    <w:p>
      <w:pPr>
        <w:snapToGrid w:val="0"/>
        <w:spacing w:line="500" w:lineRule="exact"/>
        <w:ind w:firstLine="480"/>
        <w:rPr>
          <w:rFonts w:hint="eastAsia" w:ascii="宋体" w:hAnsi="宋体" w:cs="宋体"/>
          <w:color w:val="auto"/>
          <w:sz w:val="24"/>
        </w:rPr>
      </w:pPr>
      <w:r>
        <w:rPr>
          <w:rFonts w:hint="eastAsia" w:ascii="宋体" w:hAnsi="宋体" w:cs="宋体"/>
          <w:color w:val="auto"/>
          <w:sz w:val="24"/>
        </w:rPr>
        <w:t>说明：</w:t>
      </w:r>
    </w:p>
    <w:p>
      <w:pPr>
        <w:snapToGrid w:val="0"/>
        <w:spacing w:line="400" w:lineRule="exact"/>
        <w:ind w:firstLine="480"/>
        <w:rPr>
          <w:rFonts w:hint="eastAsia" w:ascii="宋体" w:hAnsi="宋体" w:cs="宋体"/>
          <w:color w:val="auto"/>
          <w:sz w:val="24"/>
        </w:rPr>
      </w:pPr>
      <w:r>
        <w:rPr>
          <w:rFonts w:hint="eastAsia" w:ascii="宋体" w:hAnsi="宋体" w:cs="宋体"/>
          <w:color w:val="auto"/>
          <w:sz w:val="24"/>
        </w:rPr>
        <w:t>1.报价一览表按格式填列；</w:t>
      </w:r>
    </w:p>
    <w:p>
      <w:pPr>
        <w:snapToGrid w:val="0"/>
        <w:spacing w:line="400" w:lineRule="exact"/>
        <w:ind w:firstLine="480"/>
        <w:rPr>
          <w:rFonts w:hint="eastAsia" w:ascii="宋体" w:hAnsi="宋体" w:cs="宋体"/>
          <w:color w:val="auto"/>
          <w:sz w:val="24"/>
        </w:rPr>
      </w:pPr>
      <w:r>
        <w:rPr>
          <w:rFonts w:hint="eastAsia" w:ascii="宋体" w:hAnsi="宋体" w:cs="宋体"/>
          <w:color w:val="auto"/>
          <w:sz w:val="24"/>
        </w:rPr>
        <w:t>2.报价一览表在询价会上当众宣读，务必填写清楚，准确无误；</w:t>
      </w:r>
    </w:p>
    <w:p>
      <w:pPr>
        <w:pStyle w:val="2"/>
        <w:spacing w:line="400" w:lineRule="exact"/>
        <w:ind w:firstLine="480" w:firstLineChars="200"/>
        <w:rPr>
          <w:rFonts w:hint="eastAsia" w:ascii="宋体" w:hAnsi="宋体" w:cs="宋体"/>
          <w:color w:val="auto"/>
          <w:sz w:val="24"/>
        </w:rPr>
      </w:pPr>
      <w:r>
        <w:rPr>
          <w:rFonts w:hint="eastAsia" w:ascii="宋体" w:hAnsi="宋体" w:cs="宋体"/>
          <w:color w:val="auto"/>
          <w:sz w:val="24"/>
        </w:rPr>
        <w:t>3.供应商的响应总报价以及单价报价大于相对应的最高限价，则其响应文件作无效响应处理。</w:t>
      </w:r>
    </w:p>
    <w:p>
      <w:pPr>
        <w:pStyle w:val="2"/>
        <w:spacing w:line="400" w:lineRule="exact"/>
        <w:ind w:firstLine="482" w:firstLineChars="200"/>
        <w:rPr>
          <w:rFonts w:hint="eastAsia" w:ascii="宋体" w:hAnsi="宋体" w:cs="宋体"/>
          <w:b/>
          <w:bCs/>
          <w:color w:val="auto"/>
          <w:sz w:val="24"/>
        </w:rPr>
      </w:pPr>
    </w:p>
    <w:p>
      <w:pPr>
        <w:pStyle w:val="2"/>
        <w:spacing w:line="400" w:lineRule="exact"/>
        <w:ind w:firstLine="482" w:firstLineChars="200"/>
        <w:rPr>
          <w:rFonts w:hint="eastAsia" w:ascii="宋体" w:hAnsi="宋体" w:cs="宋体"/>
          <w:b/>
          <w:bCs/>
          <w:color w:val="auto"/>
          <w:sz w:val="24"/>
        </w:rPr>
      </w:pPr>
    </w:p>
    <w:p>
      <w:pPr>
        <w:pStyle w:val="2"/>
        <w:spacing w:line="400" w:lineRule="exact"/>
        <w:ind w:firstLine="482" w:firstLineChars="200"/>
        <w:rPr>
          <w:rFonts w:hint="eastAsia" w:ascii="宋体" w:hAnsi="宋体" w:cs="宋体"/>
          <w:b/>
          <w:bCs/>
          <w:color w:val="auto"/>
          <w:sz w:val="24"/>
        </w:rPr>
      </w:pPr>
    </w:p>
    <w:p>
      <w:pPr>
        <w:pStyle w:val="2"/>
        <w:spacing w:line="400" w:lineRule="exact"/>
        <w:ind w:firstLine="482" w:firstLineChars="200"/>
        <w:rPr>
          <w:rFonts w:hint="eastAsia" w:ascii="宋体" w:hAnsi="宋体" w:cs="宋体"/>
          <w:b/>
          <w:bCs/>
          <w:color w:val="auto"/>
          <w:sz w:val="24"/>
        </w:rPr>
      </w:pPr>
    </w:p>
    <w:p>
      <w:pPr>
        <w:pStyle w:val="2"/>
        <w:spacing w:line="400" w:lineRule="exact"/>
        <w:ind w:firstLine="482" w:firstLineChars="200"/>
        <w:rPr>
          <w:rFonts w:hint="eastAsia" w:ascii="宋体" w:hAnsi="宋体" w:cs="宋体"/>
          <w:b/>
          <w:bCs/>
          <w:color w:val="auto"/>
          <w:sz w:val="24"/>
        </w:rPr>
      </w:pPr>
    </w:p>
    <w:p>
      <w:pPr>
        <w:pStyle w:val="2"/>
        <w:spacing w:line="400" w:lineRule="exact"/>
        <w:ind w:firstLine="482" w:firstLineChars="200"/>
        <w:rPr>
          <w:rFonts w:hint="eastAsia" w:ascii="宋体" w:hAnsi="宋体" w:cs="宋体"/>
          <w:b/>
          <w:bCs/>
          <w:color w:val="auto"/>
          <w:sz w:val="24"/>
        </w:rPr>
      </w:pPr>
    </w:p>
    <w:p>
      <w:pPr>
        <w:pStyle w:val="2"/>
        <w:spacing w:line="400" w:lineRule="exact"/>
        <w:ind w:firstLine="482" w:firstLineChars="200"/>
        <w:rPr>
          <w:rFonts w:hint="eastAsia" w:ascii="宋体" w:hAnsi="宋体" w:cs="宋体"/>
          <w:b/>
          <w:bCs/>
          <w:color w:val="auto"/>
          <w:sz w:val="24"/>
        </w:rPr>
      </w:pPr>
    </w:p>
    <w:p>
      <w:pPr>
        <w:pStyle w:val="2"/>
        <w:spacing w:line="400" w:lineRule="exact"/>
        <w:ind w:firstLine="482" w:firstLineChars="200"/>
        <w:rPr>
          <w:rFonts w:hint="eastAsia" w:ascii="宋体" w:hAnsi="宋体" w:cs="宋体"/>
          <w:b/>
          <w:bCs/>
          <w:color w:val="auto"/>
          <w:sz w:val="24"/>
        </w:rPr>
      </w:pPr>
    </w:p>
    <w:p>
      <w:pPr>
        <w:pStyle w:val="2"/>
        <w:spacing w:line="400" w:lineRule="exact"/>
        <w:ind w:firstLine="482" w:firstLineChars="200"/>
        <w:rPr>
          <w:rFonts w:hint="eastAsia" w:ascii="宋体" w:hAnsi="宋体" w:cs="宋体"/>
          <w:b/>
          <w:bCs/>
          <w:color w:val="auto"/>
          <w:sz w:val="24"/>
        </w:rPr>
      </w:pPr>
    </w:p>
    <w:p>
      <w:pPr>
        <w:pStyle w:val="2"/>
        <w:spacing w:line="400" w:lineRule="exact"/>
        <w:ind w:firstLine="482" w:firstLineChars="200"/>
        <w:rPr>
          <w:rFonts w:hint="eastAsia" w:ascii="宋体" w:hAnsi="宋体" w:cs="宋体"/>
          <w:b/>
          <w:bCs/>
          <w:color w:val="auto"/>
          <w:sz w:val="24"/>
        </w:rPr>
      </w:pPr>
    </w:p>
    <w:p>
      <w:pPr>
        <w:snapToGrid w:val="0"/>
        <w:spacing w:line="500" w:lineRule="exact"/>
        <w:jc w:val="center"/>
        <w:rPr>
          <w:rFonts w:hint="eastAsia" w:ascii="宋体" w:hAnsi="宋体" w:cs="宋体"/>
          <w:color w:val="auto"/>
          <w:sz w:val="24"/>
          <w:szCs w:val="24"/>
        </w:rPr>
      </w:pPr>
      <w:r>
        <w:rPr>
          <w:rFonts w:hint="eastAsia" w:ascii="宋体" w:hAnsi="宋体" w:cs="宋体"/>
          <w:color w:val="auto"/>
          <w:sz w:val="24"/>
          <w:szCs w:val="24"/>
        </w:rPr>
        <w:t>（二）明细报价表</w:t>
      </w:r>
    </w:p>
    <w:p>
      <w:pPr>
        <w:snapToGrid w:val="0"/>
        <w:spacing w:line="500" w:lineRule="exact"/>
        <w:jc w:val="both"/>
        <w:rPr>
          <w:rFonts w:hint="eastAsia" w:ascii="宋体" w:hAnsi="宋体" w:cs="宋体"/>
          <w:color w:val="auto"/>
          <w:sz w:val="24"/>
          <w:szCs w:val="24"/>
        </w:rPr>
      </w:pPr>
      <w:r>
        <w:rPr>
          <w:rFonts w:hint="eastAsia" w:ascii="宋体" w:hAnsi="宋体" w:cs="宋体"/>
          <w:color w:val="auto"/>
          <w:sz w:val="24"/>
          <w:szCs w:val="24"/>
        </w:rPr>
        <w:t xml:space="preserve">项目名称：                                             </w:t>
      </w:r>
      <w:r>
        <w:rPr>
          <w:rFonts w:hint="eastAsia" w:ascii="宋体" w:hAnsi="宋体" w:cs="宋体"/>
          <w:color w:val="auto"/>
          <w:sz w:val="24"/>
          <w:szCs w:val="24"/>
          <w:lang w:val="en-US" w:eastAsia="zh-CN"/>
        </w:rPr>
        <w:t xml:space="preserve">            </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4"/>
        <w:gridCol w:w="828"/>
        <w:gridCol w:w="1085"/>
        <w:gridCol w:w="719"/>
        <w:gridCol w:w="676"/>
        <w:gridCol w:w="1224"/>
        <w:gridCol w:w="1341"/>
        <w:gridCol w:w="842"/>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34" w:type="dxa"/>
            <w:noWrap w:val="0"/>
            <w:vAlign w:val="center"/>
          </w:tcPr>
          <w:p>
            <w:pPr>
              <w:jc w:val="center"/>
              <w:rPr>
                <w:rFonts w:ascii="宋体" w:hAnsi="宋体" w:cs="宋体"/>
                <w:b/>
                <w:color w:val="auto"/>
                <w:sz w:val="21"/>
                <w:szCs w:val="21"/>
              </w:rPr>
            </w:pPr>
            <w:r>
              <w:rPr>
                <w:rFonts w:hint="eastAsia" w:ascii="宋体" w:hAnsi="宋体" w:cs="宋体"/>
                <w:b/>
                <w:color w:val="auto"/>
                <w:sz w:val="21"/>
                <w:szCs w:val="21"/>
              </w:rPr>
              <w:t>序号</w:t>
            </w:r>
          </w:p>
        </w:tc>
        <w:tc>
          <w:tcPr>
            <w:tcW w:w="1704" w:type="dxa"/>
            <w:noWrap w:val="0"/>
            <w:vAlign w:val="center"/>
          </w:tcPr>
          <w:p>
            <w:pPr>
              <w:jc w:val="center"/>
              <w:rPr>
                <w:rFonts w:ascii="宋体" w:hAnsi="宋体" w:cs="宋体"/>
                <w:b/>
                <w:color w:val="auto"/>
                <w:sz w:val="21"/>
                <w:szCs w:val="21"/>
              </w:rPr>
            </w:pPr>
            <w:r>
              <w:rPr>
                <w:rFonts w:hint="eastAsia" w:ascii="宋体" w:hAnsi="宋体" w:cs="宋体"/>
                <w:b/>
                <w:color w:val="auto"/>
                <w:sz w:val="21"/>
                <w:szCs w:val="21"/>
                <w:lang w:val="en-US" w:eastAsia="zh-CN"/>
              </w:rPr>
              <w:t>产品</w:t>
            </w:r>
            <w:r>
              <w:rPr>
                <w:rFonts w:hint="eastAsia" w:ascii="宋体" w:hAnsi="宋体" w:cs="宋体"/>
                <w:b/>
                <w:color w:val="auto"/>
                <w:sz w:val="21"/>
                <w:szCs w:val="21"/>
              </w:rPr>
              <w:t>名称</w:t>
            </w:r>
          </w:p>
        </w:tc>
        <w:tc>
          <w:tcPr>
            <w:tcW w:w="828" w:type="dxa"/>
            <w:noWrap w:val="0"/>
            <w:vAlign w:val="center"/>
          </w:tcPr>
          <w:p>
            <w:pPr>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品牌</w:t>
            </w:r>
          </w:p>
        </w:tc>
        <w:tc>
          <w:tcPr>
            <w:tcW w:w="1085" w:type="dxa"/>
            <w:noWrap w:val="0"/>
            <w:vAlign w:val="center"/>
          </w:tcPr>
          <w:p>
            <w:pPr>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规格型号</w:t>
            </w:r>
          </w:p>
        </w:tc>
        <w:tc>
          <w:tcPr>
            <w:tcW w:w="719" w:type="dxa"/>
            <w:noWrap w:val="0"/>
            <w:vAlign w:val="center"/>
          </w:tcPr>
          <w:p>
            <w:pPr>
              <w:jc w:val="center"/>
              <w:rPr>
                <w:rFonts w:ascii="宋体" w:hAnsi="宋体" w:cs="宋体"/>
                <w:b/>
                <w:color w:val="auto"/>
                <w:sz w:val="21"/>
                <w:szCs w:val="21"/>
              </w:rPr>
            </w:pPr>
            <w:r>
              <w:rPr>
                <w:rFonts w:hint="eastAsia" w:ascii="宋体" w:hAnsi="宋体" w:cs="宋体"/>
                <w:b/>
                <w:color w:val="auto"/>
                <w:sz w:val="21"/>
                <w:szCs w:val="21"/>
              </w:rPr>
              <w:t>数量</w:t>
            </w:r>
          </w:p>
        </w:tc>
        <w:tc>
          <w:tcPr>
            <w:tcW w:w="676" w:type="dxa"/>
            <w:noWrap w:val="0"/>
            <w:vAlign w:val="center"/>
          </w:tcPr>
          <w:p>
            <w:pPr>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单位</w:t>
            </w:r>
          </w:p>
        </w:tc>
        <w:tc>
          <w:tcPr>
            <w:tcW w:w="1224" w:type="dxa"/>
            <w:noWrap w:val="0"/>
            <w:vAlign w:val="center"/>
          </w:tcPr>
          <w:p>
            <w:pPr>
              <w:jc w:val="center"/>
              <w:rPr>
                <w:rFonts w:hint="eastAsia" w:ascii="宋体" w:hAnsi="宋体" w:cs="宋体"/>
                <w:b/>
                <w:color w:val="auto"/>
                <w:sz w:val="21"/>
                <w:szCs w:val="21"/>
                <w:lang w:eastAsia="zh-CN"/>
              </w:rPr>
            </w:pPr>
            <w:r>
              <w:rPr>
                <w:rFonts w:hint="eastAsia" w:ascii="宋体" w:hAnsi="宋体" w:cs="宋体"/>
                <w:b/>
                <w:color w:val="auto"/>
                <w:sz w:val="21"/>
                <w:szCs w:val="21"/>
                <w:lang w:eastAsia="zh-CN"/>
              </w:rPr>
              <w:t>单价限价（</w:t>
            </w:r>
            <w:r>
              <w:rPr>
                <w:rFonts w:hint="eastAsia" w:ascii="宋体" w:hAnsi="宋体" w:cs="宋体"/>
                <w:b/>
                <w:color w:val="auto"/>
                <w:sz w:val="21"/>
                <w:szCs w:val="21"/>
                <w:lang w:val="en-US" w:eastAsia="zh-CN"/>
              </w:rPr>
              <w:t>元</w:t>
            </w:r>
            <w:r>
              <w:rPr>
                <w:rFonts w:hint="eastAsia" w:ascii="宋体" w:hAnsi="宋体" w:cs="宋体"/>
                <w:b/>
                <w:color w:val="auto"/>
                <w:sz w:val="21"/>
                <w:szCs w:val="21"/>
                <w:lang w:eastAsia="zh-CN"/>
              </w:rPr>
              <w:t>）</w:t>
            </w:r>
          </w:p>
        </w:tc>
        <w:tc>
          <w:tcPr>
            <w:tcW w:w="1341" w:type="dxa"/>
            <w:noWrap w:val="0"/>
            <w:vAlign w:val="center"/>
          </w:tcPr>
          <w:p>
            <w:pPr>
              <w:jc w:val="center"/>
              <w:rPr>
                <w:rFonts w:hint="eastAsia" w:ascii="宋体" w:hAnsi="宋体" w:cs="宋体"/>
                <w:b/>
                <w:color w:val="auto"/>
                <w:sz w:val="21"/>
                <w:szCs w:val="21"/>
                <w:lang w:eastAsia="zh-CN"/>
              </w:rPr>
            </w:pPr>
            <w:r>
              <w:rPr>
                <w:rFonts w:hint="eastAsia" w:ascii="宋体" w:hAnsi="宋体" w:cs="宋体"/>
                <w:b/>
                <w:color w:val="auto"/>
                <w:sz w:val="21"/>
                <w:szCs w:val="21"/>
                <w:lang w:eastAsia="zh-CN"/>
              </w:rPr>
              <w:t>单价报价（</w:t>
            </w:r>
            <w:r>
              <w:rPr>
                <w:rFonts w:hint="eastAsia" w:ascii="宋体" w:hAnsi="宋体" w:cs="宋体"/>
                <w:b/>
                <w:color w:val="auto"/>
                <w:sz w:val="21"/>
                <w:szCs w:val="21"/>
                <w:lang w:val="en-US" w:eastAsia="zh-CN"/>
              </w:rPr>
              <w:t>元</w:t>
            </w:r>
            <w:r>
              <w:rPr>
                <w:rFonts w:hint="eastAsia" w:ascii="宋体" w:hAnsi="宋体" w:cs="宋体"/>
                <w:b/>
                <w:color w:val="auto"/>
                <w:sz w:val="21"/>
                <w:szCs w:val="21"/>
                <w:lang w:eastAsia="zh-CN"/>
              </w:rPr>
              <w:t>）</w:t>
            </w:r>
          </w:p>
        </w:tc>
        <w:tc>
          <w:tcPr>
            <w:tcW w:w="842" w:type="dxa"/>
            <w:noWrap w:val="0"/>
            <w:vAlign w:val="center"/>
          </w:tcPr>
          <w:p>
            <w:pPr>
              <w:jc w:val="center"/>
              <w:rPr>
                <w:rFonts w:hint="eastAsia" w:ascii="宋体" w:hAnsi="宋体" w:cs="宋体"/>
                <w:b/>
                <w:color w:val="auto"/>
                <w:sz w:val="21"/>
                <w:szCs w:val="21"/>
                <w:lang w:eastAsia="zh-CN"/>
              </w:rPr>
            </w:pPr>
            <w:r>
              <w:rPr>
                <w:rFonts w:hint="eastAsia" w:ascii="宋体" w:hAnsi="宋体" w:cs="宋体"/>
                <w:b/>
                <w:color w:val="auto"/>
                <w:sz w:val="21"/>
                <w:szCs w:val="21"/>
                <w:lang w:eastAsia="zh-CN"/>
              </w:rPr>
              <w:t>小计</w:t>
            </w:r>
          </w:p>
        </w:tc>
        <w:tc>
          <w:tcPr>
            <w:tcW w:w="980" w:type="dxa"/>
            <w:noWrap w:val="0"/>
            <w:vAlign w:val="center"/>
          </w:tcPr>
          <w:p>
            <w:pPr>
              <w:jc w:val="center"/>
              <w:rPr>
                <w:rFonts w:hint="eastAsia" w:ascii="宋体" w:hAnsi="宋体" w:cs="宋体"/>
                <w:b/>
                <w:color w:val="auto"/>
                <w:sz w:val="21"/>
                <w:szCs w:val="21"/>
                <w:lang w:eastAsia="zh-CN"/>
              </w:rPr>
            </w:pPr>
            <w:r>
              <w:rPr>
                <w:rFonts w:hint="eastAsia" w:ascii="宋体" w:hAnsi="宋体" w:cs="宋体"/>
                <w:b/>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704" w:type="dxa"/>
            <w:noWrap w:val="0"/>
            <w:vAlign w:val="center"/>
          </w:tcPr>
          <w:p>
            <w:pPr>
              <w:widowControl/>
              <w:jc w:val="center"/>
              <w:rPr>
                <w:rFonts w:hint="eastAsia" w:ascii="宋体" w:hAnsi="宋体" w:cs="宋体"/>
                <w:color w:val="auto"/>
                <w:kern w:val="0"/>
                <w:sz w:val="24"/>
                <w:szCs w:val="24"/>
              </w:rPr>
            </w:pPr>
            <w:r>
              <w:rPr>
                <w:rFonts w:hint="eastAsia" w:ascii="宋体" w:hAnsi="宋体" w:eastAsia="宋体" w:cs="宋体"/>
                <w:color w:val="auto"/>
                <w:kern w:val="0"/>
                <w:sz w:val="22"/>
                <w:szCs w:val="22"/>
                <w:lang w:val="en-US" w:eastAsia="zh-CN"/>
              </w:rPr>
              <w:t>卫生应急冬装（含内胆冲锋衣、冲锋裤、全套胸牌臂章等标识）</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cs="宋体"/>
                <w:color w:val="auto"/>
                <w:kern w:val="0"/>
                <w:sz w:val="24"/>
                <w:szCs w:val="24"/>
              </w:rPr>
            </w:pPr>
            <w:r>
              <w:rPr>
                <w:rFonts w:hint="eastAsia" w:ascii="宋体" w:hAnsi="宋体" w:eastAsia="宋体" w:cs="宋体"/>
                <w:color w:val="auto"/>
                <w:kern w:val="0"/>
                <w:sz w:val="22"/>
                <w:szCs w:val="22"/>
                <w:lang w:val="en-US" w:eastAsia="zh-CN"/>
              </w:rPr>
              <w:t>70</w:t>
            </w:r>
          </w:p>
        </w:tc>
        <w:tc>
          <w:tcPr>
            <w:tcW w:w="676" w:type="dxa"/>
            <w:noWrap w:val="0"/>
            <w:vAlign w:val="center"/>
          </w:tcPr>
          <w:p>
            <w:pPr>
              <w:widowControl/>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件</w:t>
            </w:r>
          </w:p>
        </w:tc>
        <w:tc>
          <w:tcPr>
            <w:tcW w:w="1224" w:type="dxa"/>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2000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1704" w:type="dxa"/>
            <w:noWrap w:val="0"/>
            <w:vAlign w:val="center"/>
          </w:tcPr>
          <w:p>
            <w:pPr>
              <w:widowControl/>
              <w:jc w:val="center"/>
              <w:rPr>
                <w:rFonts w:hint="eastAsia" w:ascii="宋体" w:hAnsi="宋体" w:cs="宋体"/>
                <w:color w:val="auto"/>
                <w:kern w:val="0"/>
                <w:sz w:val="24"/>
                <w:szCs w:val="24"/>
              </w:rPr>
            </w:pPr>
            <w:r>
              <w:rPr>
                <w:rFonts w:hint="eastAsia" w:ascii="宋体" w:hAnsi="宋体" w:eastAsia="宋体" w:cs="宋体"/>
                <w:color w:val="auto"/>
                <w:kern w:val="0"/>
                <w:sz w:val="22"/>
                <w:szCs w:val="22"/>
                <w:lang w:val="en-US" w:eastAsia="zh-CN"/>
              </w:rPr>
              <w:t>夏裤</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cs="宋体"/>
                <w:color w:val="auto"/>
                <w:kern w:val="0"/>
                <w:sz w:val="24"/>
                <w:szCs w:val="24"/>
                <w:lang w:val="en-US" w:eastAsia="zh-CN"/>
              </w:rPr>
            </w:pPr>
            <w:r>
              <w:rPr>
                <w:rFonts w:hint="eastAsia" w:ascii="宋体" w:hAnsi="宋体" w:eastAsia="宋体" w:cs="宋体"/>
                <w:color w:val="auto"/>
                <w:kern w:val="0"/>
                <w:sz w:val="22"/>
                <w:szCs w:val="22"/>
                <w:lang w:val="en-US" w:eastAsia="zh-CN"/>
              </w:rPr>
              <w:t>70</w:t>
            </w:r>
          </w:p>
        </w:tc>
        <w:tc>
          <w:tcPr>
            <w:tcW w:w="676" w:type="dxa"/>
            <w:noWrap w:val="0"/>
            <w:vAlign w:val="center"/>
          </w:tcPr>
          <w:p>
            <w:pPr>
              <w:widowControl/>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条</w:t>
            </w:r>
          </w:p>
        </w:tc>
        <w:tc>
          <w:tcPr>
            <w:tcW w:w="1224" w:type="dxa"/>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200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长袖衬衣</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70</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件</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200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短袖衬衣</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70</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件</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200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马甲</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70</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件</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200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帽子</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70</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个</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100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速干圆领T恤、速干运动裤套装（长袖、短袖）</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70</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套</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800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T恤（长袖、短袖）</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70</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件</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400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秋冬靴</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70</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双</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300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10</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春夏鞋</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20</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双</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150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11</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应急背囊</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20</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个</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400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12</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强光手电筒</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20</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个</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90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13</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洗漱包</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20</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个</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30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14</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拉杆箱</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20</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个</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200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15</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流调手机</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55</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个</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1500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16</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便携式打印机（能无线连接）</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15</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4000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17</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影像记录仪</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30</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3000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18</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移动无线硬盘2TB</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30</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个</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1500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19</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智能录音笔（可转化文字）</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45</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只</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1300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20</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充电宝</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55</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个</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260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21</w:t>
            </w:r>
          </w:p>
        </w:tc>
        <w:tc>
          <w:tcPr>
            <w:tcW w:w="1704"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投影仪</w:t>
            </w:r>
          </w:p>
        </w:tc>
        <w:tc>
          <w:tcPr>
            <w:tcW w:w="828" w:type="dxa"/>
            <w:noWrap w:val="0"/>
            <w:vAlign w:val="center"/>
          </w:tcPr>
          <w:p>
            <w:pPr>
              <w:widowControl/>
              <w:jc w:val="center"/>
              <w:rPr>
                <w:rFonts w:hint="eastAsia" w:ascii="宋体" w:hAnsi="宋体" w:cs="宋体"/>
                <w:color w:val="auto"/>
                <w:kern w:val="0"/>
                <w:sz w:val="24"/>
                <w:szCs w:val="24"/>
                <w:lang w:val="en-US" w:eastAsia="zh-CN"/>
              </w:rPr>
            </w:pPr>
          </w:p>
        </w:tc>
        <w:tc>
          <w:tcPr>
            <w:tcW w:w="1085" w:type="dxa"/>
            <w:noWrap w:val="0"/>
            <w:vAlign w:val="center"/>
          </w:tcPr>
          <w:p>
            <w:pPr>
              <w:widowControl/>
              <w:jc w:val="center"/>
              <w:rPr>
                <w:rFonts w:hint="eastAsia" w:ascii="宋体" w:hAnsi="宋体" w:cs="宋体"/>
                <w:color w:val="auto"/>
                <w:kern w:val="0"/>
                <w:sz w:val="24"/>
                <w:szCs w:val="24"/>
                <w:lang w:val="en-US" w:eastAsia="zh-CN"/>
              </w:rPr>
            </w:pP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2"/>
                <w:szCs w:val="22"/>
                <w:lang w:val="en-US" w:eastAsia="zh-CN"/>
              </w:rPr>
              <w:t>15</w:t>
            </w:r>
          </w:p>
        </w:tc>
        <w:tc>
          <w:tcPr>
            <w:tcW w:w="676"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224"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5000</w:t>
            </w:r>
          </w:p>
        </w:tc>
        <w:tc>
          <w:tcPr>
            <w:tcW w:w="1341" w:type="dxa"/>
            <w:noWrap w:val="0"/>
            <w:vAlign w:val="center"/>
          </w:tcPr>
          <w:p>
            <w:pPr>
              <w:widowControl/>
              <w:jc w:val="center"/>
              <w:rPr>
                <w:rFonts w:hint="eastAsia" w:ascii="宋体" w:hAnsi="宋体" w:cs="宋体"/>
                <w:color w:val="auto"/>
                <w:kern w:val="0"/>
                <w:sz w:val="24"/>
                <w:szCs w:val="24"/>
              </w:rPr>
            </w:pP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1" w:type="dxa"/>
            <w:gridSpan w:val="8"/>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总计（</w:t>
            </w:r>
            <w:r>
              <w:rPr>
                <w:rFonts w:hint="eastAsia" w:ascii="宋体" w:hAnsi="宋体" w:cs="宋体"/>
                <w:color w:val="auto"/>
                <w:kern w:val="0"/>
                <w:sz w:val="24"/>
                <w:szCs w:val="24"/>
                <w:lang w:val="en-US" w:eastAsia="zh-CN"/>
              </w:rPr>
              <w:t>元</w:t>
            </w:r>
            <w:r>
              <w:rPr>
                <w:rFonts w:hint="eastAsia" w:ascii="宋体" w:hAnsi="宋体" w:cs="宋体"/>
                <w:color w:val="auto"/>
                <w:kern w:val="0"/>
                <w:sz w:val="24"/>
                <w:szCs w:val="24"/>
                <w:lang w:eastAsia="zh-CN"/>
              </w:rPr>
              <w:t>）</w:t>
            </w:r>
          </w:p>
        </w:tc>
        <w:tc>
          <w:tcPr>
            <w:tcW w:w="842" w:type="dxa"/>
            <w:noWrap w:val="0"/>
            <w:vAlign w:val="center"/>
          </w:tcPr>
          <w:p>
            <w:pPr>
              <w:widowControl/>
              <w:jc w:val="center"/>
              <w:rPr>
                <w:rFonts w:hint="eastAsia" w:ascii="宋体" w:hAnsi="宋体" w:cs="宋体"/>
                <w:color w:val="auto"/>
                <w:kern w:val="0"/>
                <w:sz w:val="24"/>
                <w:szCs w:val="24"/>
              </w:rPr>
            </w:pPr>
          </w:p>
        </w:tc>
        <w:tc>
          <w:tcPr>
            <w:tcW w:w="980" w:type="dxa"/>
            <w:noWrap w:val="0"/>
            <w:vAlign w:val="center"/>
          </w:tcPr>
          <w:p>
            <w:pPr>
              <w:widowControl/>
              <w:jc w:val="center"/>
              <w:rPr>
                <w:rFonts w:hint="eastAsia" w:ascii="宋体" w:hAnsi="宋体" w:cs="宋体"/>
                <w:color w:val="auto"/>
                <w:kern w:val="0"/>
                <w:sz w:val="24"/>
                <w:szCs w:val="24"/>
              </w:rPr>
            </w:pPr>
          </w:p>
        </w:tc>
      </w:tr>
    </w:tbl>
    <w:p>
      <w:pPr>
        <w:pStyle w:val="27"/>
        <w:rPr>
          <w:rFonts w:hint="eastAsia"/>
          <w:color w:val="auto"/>
        </w:rPr>
      </w:pPr>
    </w:p>
    <w:p>
      <w:pPr>
        <w:snapToGrid w:val="0"/>
        <w:spacing w:line="500" w:lineRule="exact"/>
        <w:ind w:firstLine="480"/>
        <w:rPr>
          <w:rFonts w:hint="eastAsia" w:ascii="宋体" w:hAnsi="宋体" w:cs="宋体"/>
          <w:color w:val="auto"/>
          <w:sz w:val="24"/>
        </w:rPr>
      </w:pPr>
      <w:r>
        <w:rPr>
          <w:rFonts w:hint="eastAsia" w:ascii="宋体" w:hAnsi="宋体" w:cs="宋体"/>
          <w:color w:val="auto"/>
          <w:sz w:val="24"/>
        </w:rPr>
        <w:t>供应商                               法定代表人或法定代表人授权代表：</w:t>
      </w:r>
    </w:p>
    <w:p>
      <w:pPr>
        <w:snapToGrid w:val="0"/>
        <w:spacing w:line="500" w:lineRule="exact"/>
        <w:rPr>
          <w:rFonts w:hint="eastAsia" w:ascii="宋体" w:hAnsi="宋体" w:cs="宋体"/>
          <w:color w:val="auto"/>
          <w:sz w:val="24"/>
        </w:rPr>
      </w:pPr>
      <w:r>
        <w:rPr>
          <w:rFonts w:hint="eastAsia" w:ascii="宋体" w:hAnsi="宋体" w:cs="宋体"/>
          <w:color w:val="auto"/>
          <w:sz w:val="24"/>
        </w:rPr>
        <w:t xml:space="preserve">  （供应商公章）                               （签字或盖章）</w:t>
      </w:r>
    </w:p>
    <w:p>
      <w:pPr>
        <w:snapToGrid w:val="0"/>
        <w:spacing w:line="500" w:lineRule="exact"/>
        <w:rPr>
          <w:rFonts w:hint="eastAsia" w:ascii="宋体" w:hAnsi="宋体" w:cs="宋体"/>
          <w:color w:val="auto"/>
          <w:sz w:val="24"/>
        </w:rPr>
      </w:pPr>
    </w:p>
    <w:p>
      <w:pPr>
        <w:snapToGrid w:val="0"/>
        <w:spacing w:line="500" w:lineRule="exact"/>
        <w:rPr>
          <w:rFonts w:hint="eastAsia" w:ascii="宋体" w:hAnsi="宋体" w:cs="宋体"/>
          <w:color w:val="auto"/>
          <w:sz w:val="24"/>
        </w:rPr>
      </w:pPr>
    </w:p>
    <w:p>
      <w:pPr>
        <w:snapToGrid w:val="0"/>
        <w:spacing w:line="500" w:lineRule="exact"/>
        <w:rPr>
          <w:rFonts w:hint="eastAsia" w:ascii="宋体" w:hAnsi="宋体" w:cs="宋体"/>
          <w:color w:val="auto"/>
          <w:sz w:val="24"/>
        </w:rPr>
      </w:pPr>
      <w:r>
        <w:rPr>
          <w:rFonts w:hint="eastAsia" w:ascii="宋体" w:hAnsi="宋体" w:cs="宋体"/>
          <w:color w:val="auto"/>
          <w:sz w:val="24"/>
        </w:rPr>
        <w:t xml:space="preserve">                                            年     月     日</w:t>
      </w:r>
    </w:p>
    <w:p>
      <w:pPr>
        <w:snapToGrid w:val="0"/>
        <w:spacing w:line="500" w:lineRule="exact"/>
        <w:ind w:firstLine="480" w:firstLineChars="200"/>
        <w:rPr>
          <w:rFonts w:hint="eastAsia" w:ascii="方正仿宋_GBK" w:hAnsi="仿宋" w:eastAsia="方正仿宋_GBK"/>
          <w:color w:val="auto"/>
          <w:sz w:val="24"/>
          <w:szCs w:val="28"/>
        </w:rPr>
      </w:pPr>
    </w:p>
    <w:p>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注：</w:t>
      </w:r>
    </w:p>
    <w:p>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1.请投标人完整填写本表；</w:t>
      </w:r>
    </w:p>
    <w:p>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2.该表可扩展。</w:t>
      </w:r>
    </w:p>
    <w:p>
      <w:pPr>
        <w:pStyle w:val="2"/>
        <w:spacing w:line="400" w:lineRule="exact"/>
        <w:ind w:firstLine="480" w:firstLineChars="200"/>
        <w:rPr>
          <w:rFonts w:hint="eastAsia" w:ascii="宋体" w:hAnsi="宋体" w:cs="宋体"/>
          <w:color w:val="auto"/>
          <w:sz w:val="24"/>
          <w:szCs w:val="24"/>
        </w:rPr>
      </w:pPr>
    </w:p>
    <w:p>
      <w:pPr>
        <w:pStyle w:val="2"/>
        <w:spacing w:line="360" w:lineRule="auto"/>
        <w:ind w:firstLine="482" w:firstLineChars="200"/>
        <w:jc w:val="both"/>
        <w:rPr>
          <w:color w:val="auto"/>
          <w:sz w:val="24"/>
          <w:szCs w:val="24"/>
        </w:rPr>
      </w:pPr>
      <w:r>
        <w:rPr>
          <w:rFonts w:hint="eastAsia" w:ascii="宋体" w:hAnsi="宋体" w:cs="宋体"/>
          <w:b/>
          <w:bCs/>
          <w:color w:val="auto"/>
          <w:sz w:val="24"/>
        </w:rPr>
        <w:br w:type="page"/>
      </w:r>
      <w:r>
        <w:rPr>
          <w:color w:val="auto"/>
          <w:sz w:val="24"/>
          <w:szCs w:val="24"/>
        </w:rPr>
        <w:t>（</w:t>
      </w:r>
      <w:r>
        <w:rPr>
          <w:rFonts w:hint="eastAsia"/>
          <w:color w:val="auto"/>
          <w:sz w:val="24"/>
          <w:szCs w:val="24"/>
          <w:lang w:val="en-US" w:eastAsia="zh-CN"/>
        </w:rPr>
        <w:t>三</w:t>
      </w:r>
      <w:r>
        <w:rPr>
          <w:color w:val="auto"/>
          <w:sz w:val="24"/>
          <w:szCs w:val="24"/>
        </w:rPr>
        <w:t>）其他</w:t>
      </w:r>
    </w:p>
    <w:p>
      <w:pPr>
        <w:pStyle w:val="2"/>
        <w:spacing w:line="360" w:lineRule="auto"/>
        <w:ind w:firstLine="480" w:firstLineChars="200"/>
        <w:jc w:val="both"/>
        <w:rPr>
          <w:rFonts w:hint="eastAsia" w:ascii="宋体" w:hAnsi="宋体" w:eastAsia="宋体" w:cs="宋体"/>
          <w:color w:val="auto"/>
          <w:sz w:val="24"/>
          <w:szCs w:val="24"/>
        </w:rPr>
      </w:pPr>
      <w:r>
        <w:rPr>
          <w:color w:val="auto"/>
          <w:sz w:val="24"/>
          <w:szCs w:val="24"/>
        </w:rPr>
        <w:br w:type="page"/>
      </w:r>
      <w:r>
        <w:rPr>
          <w:rFonts w:hint="eastAsia" w:ascii="宋体" w:hAnsi="宋体" w:eastAsia="宋体" w:cs="宋体"/>
          <w:color w:val="auto"/>
          <w:sz w:val="24"/>
          <w:szCs w:val="24"/>
        </w:rPr>
        <w:t>（一）中小企业声明函、监狱企业证明文件、残疾人福利性单位声明函</w:t>
      </w:r>
    </w:p>
    <w:p>
      <w:pPr>
        <w:tabs>
          <w:tab w:val="left" w:pos="6300"/>
        </w:tabs>
        <w:snapToGrid w:val="0"/>
        <w:spacing w:line="500" w:lineRule="exact"/>
        <w:jc w:val="center"/>
        <w:rPr>
          <w:rFonts w:ascii="宋体" w:hAnsi="宋体" w:cs="宋体"/>
          <w:color w:val="auto"/>
        </w:rPr>
      </w:pPr>
      <w:r>
        <w:rPr>
          <w:rFonts w:hint="eastAsia" w:ascii="宋体" w:hAnsi="宋体" w:cs="宋体"/>
          <w:color w:val="auto"/>
        </w:rPr>
        <w:t>中小企业声明函（货物类）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left="0" w:leftChars="0" w:firstLine="480" w:firstLineChars="200"/>
        <w:jc w:val="both"/>
        <w:textAlignment w:val="auto"/>
        <w:outlineLvl w:val="9"/>
        <w:rPr>
          <w:rFonts w:ascii="宋体" w:hAnsi="宋体" w:cs="宋体"/>
          <w:color w:val="auto"/>
          <w:sz w:val="24"/>
        </w:rPr>
      </w:pPr>
      <w:r>
        <w:rPr>
          <w:rFonts w:hint="eastAsia" w:ascii="宋体" w:hAnsi="宋体" w:cs="宋体"/>
          <w:color w:val="auto"/>
          <w:sz w:val="24"/>
        </w:rPr>
        <w:t>本公司（联合体）郑重声明，根据《政府采购促进中小企业发展管理办法》（</w:t>
      </w:r>
      <w:r>
        <w:rPr>
          <w:rFonts w:hint="eastAsia" w:ascii="宋体" w:hAnsi="宋体" w:cs="宋体"/>
          <w:color w:val="auto"/>
          <w:sz w:val="24"/>
          <w:szCs w:val="24"/>
        </w:rPr>
        <w:t>财库〔2020〕46号</w:t>
      </w:r>
      <w:r>
        <w:rPr>
          <w:rFonts w:hint="eastAsia" w:ascii="宋体" w:hAnsi="宋体" w:cs="宋体"/>
          <w:color w:val="auto"/>
          <w:sz w:val="24"/>
        </w:rPr>
        <w:t>）的规定，本公司（联合体）参加</w:t>
      </w:r>
      <w:r>
        <w:rPr>
          <w:rFonts w:hint="eastAsia" w:ascii="宋体" w:hAnsi="宋体" w:cs="宋体"/>
          <w:i/>
          <w:color w:val="auto"/>
          <w:sz w:val="24"/>
          <w:u w:val="single"/>
        </w:rPr>
        <w:t>（单位名称）</w:t>
      </w:r>
      <w:r>
        <w:rPr>
          <w:rFonts w:hint="eastAsia" w:ascii="宋体" w:hAnsi="宋体" w:cs="宋体"/>
          <w:color w:val="auto"/>
          <w:sz w:val="24"/>
        </w:rPr>
        <w:t>的</w:t>
      </w:r>
      <w:r>
        <w:rPr>
          <w:rFonts w:hint="eastAsia" w:ascii="宋体" w:hAnsi="宋体" w:cs="宋体"/>
          <w:i/>
          <w:color w:val="auto"/>
          <w:sz w:val="24"/>
          <w:u w:val="single"/>
        </w:rPr>
        <w:t>（项目名称）</w:t>
      </w:r>
      <w:r>
        <w:rPr>
          <w:rFonts w:hint="eastAsia" w:ascii="宋体" w:hAnsi="宋体" w:cs="宋体"/>
          <w:color w:val="auto"/>
          <w:sz w:val="24"/>
        </w:rPr>
        <w:t>采购活动，提供的货物全部由符合政策要求的中小企业制造。相关企业（含联合体中的中小企业、签订分包意向协议的中小企业）的具体情况如下：</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left="0" w:leftChars="0" w:firstLine="480" w:firstLineChars="200"/>
        <w:jc w:val="both"/>
        <w:textAlignment w:val="auto"/>
        <w:outlineLvl w:val="9"/>
        <w:rPr>
          <w:rFonts w:ascii="宋体" w:hAnsi="宋体" w:cs="宋体"/>
          <w:color w:val="auto"/>
          <w:sz w:val="24"/>
        </w:rPr>
      </w:pPr>
      <w:r>
        <w:rPr>
          <w:rFonts w:hint="eastAsia" w:ascii="宋体" w:hAnsi="宋体" w:cs="宋体"/>
          <w:color w:val="auto"/>
          <w:sz w:val="24"/>
        </w:rPr>
        <w:t>1.</w:t>
      </w:r>
      <w:r>
        <w:rPr>
          <w:rFonts w:hint="eastAsia" w:ascii="宋体" w:hAnsi="宋体" w:cs="宋体"/>
          <w:i/>
          <w:color w:val="auto"/>
          <w:sz w:val="24"/>
          <w:u w:val="single"/>
        </w:rPr>
        <w:t>（标的名称）</w:t>
      </w:r>
      <w:r>
        <w:rPr>
          <w:rFonts w:hint="eastAsia" w:ascii="宋体" w:hAnsi="宋体" w:cs="宋体"/>
          <w:color w:val="auto"/>
          <w:sz w:val="24"/>
        </w:rPr>
        <w:t>，属于</w:t>
      </w:r>
      <w:r>
        <w:rPr>
          <w:rFonts w:hint="eastAsia" w:ascii="宋体" w:hAnsi="宋体" w:cs="宋体"/>
          <w:i/>
          <w:color w:val="auto"/>
          <w:sz w:val="24"/>
          <w:u w:val="single"/>
        </w:rPr>
        <w:t>（采购文件中明确的所属行业）行业</w:t>
      </w:r>
      <w:r>
        <w:rPr>
          <w:rFonts w:hint="eastAsia" w:ascii="宋体" w:hAnsi="宋体" w:cs="宋体"/>
          <w:color w:val="auto"/>
          <w:sz w:val="24"/>
        </w:rPr>
        <w:t>；制造商为</w:t>
      </w:r>
      <w:r>
        <w:rPr>
          <w:rFonts w:hint="eastAsia" w:ascii="宋体" w:hAnsi="宋体" w:cs="宋体"/>
          <w:i/>
          <w:color w:val="auto"/>
          <w:sz w:val="24"/>
          <w:u w:val="single"/>
        </w:rPr>
        <w:t>（企业名称）</w:t>
      </w:r>
      <w:r>
        <w:rPr>
          <w:rFonts w:hint="eastAsia" w:ascii="宋体" w:hAnsi="宋体" w:cs="宋体"/>
          <w:color w:val="auto"/>
          <w:sz w:val="24"/>
        </w:rPr>
        <w:t>，从业人员人，营业收入为万元，资产总额为万元，属于</w:t>
      </w:r>
      <w:r>
        <w:rPr>
          <w:rFonts w:hint="eastAsia" w:ascii="宋体" w:hAnsi="宋体" w:cs="宋体"/>
          <w:i/>
          <w:color w:val="auto"/>
          <w:sz w:val="24"/>
          <w:u w:val="single"/>
        </w:rPr>
        <w:t>（中型企业、小型企业、微型企业）</w:t>
      </w:r>
      <w:r>
        <w:rPr>
          <w:rFonts w:hint="eastAsia" w:ascii="宋体" w:hAnsi="宋体" w:cs="宋体"/>
          <w:color w:val="auto"/>
          <w:sz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left="0" w:leftChars="0" w:firstLine="480" w:firstLineChars="200"/>
        <w:jc w:val="both"/>
        <w:textAlignment w:val="auto"/>
        <w:outlineLvl w:val="9"/>
        <w:rPr>
          <w:rFonts w:ascii="宋体" w:hAnsi="宋体" w:cs="宋体"/>
          <w:color w:val="auto"/>
          <w:sz w:val="24"/>
        </w:rPr>
      </w:pPr>
      <w:r>
        <w:rPr>
          <w:rFonts w:hint="eastAsia" w:ascii="宋体" w:hAnsi="宋体" w:cs="宋体"/>
          <w:color w:val="auto"/>
          <w:sz w:val="24"/>
        </w:rPr>
        <w:t>2.</w:t>
      </w:r>
      <w:r>
        <w:rPr>
          <w:rFonts w:hint="eastAsia" w:ascii="宋体" w:hAnsi="宋体" w:cs="宋体"/>
          <w:i/>
          <w:color w:val="auto"/>
          <w:sz w:val="24"/>
          <w:u w:val="single"/>
        </w:rPr>
        <w:t>（标的名称）</w:t>
      </w:r>
      <w:r>
        <w:rPr>
          <w:rFonts w:hint="eastAsia" w:ascii="宋体" w:hAnsi="宋体" w:cs="宋体"/>
          <w:color w:val="auto"/>
          <w:sz w:val="24"/>
        </w:rPr>
        <w:t>，属于</w:t>
      </w:r>
      <w:r>
        <w:rPr>
          <w:rFonts w:hint="eastAsia" w:ascii="宋体" w:hAnsi="宋体" w:cs="宋体"/>
          <w:i/>
          <w:color w:val="auto"/>
          <w:sz w:val="24"/>
          <w:u w:val="single"/>
        </w:rPr>
        <w:t>（采购文件中明确的所属行业）行业</w:t>
      </w:r>
      <w:r>
        <w:rPr>
          <w:rFonts w:hint="eastAsia" w:ascii="宋体" w:hAnsi="宋体" w:cs="宋体"/>
          <w:color w:val="auto"/>
          <w:sz w:val="24"/>
        </w:rPr>
        <w:t>；制造商为</w:t>
      </w:r>
      <w:r>
        <w:rPr>
          <w:rFonts w:hint="eastAsia" w:ascii="宋体" w:hAnsi="宋体" w:cs="宋体"/>
          <w:i/>
          <w:color w:val="auto"/>
          <w:sz w:val="24"/>
          <w:u w:val="single"/>
        </w:rPr>
        <w:t>（企业名称）</w:t>
      </w:r>
      <w:r>
        <w:rPr>
          <w:rFonts w:hint="eastAsia" w:ascii="宋体" w:hAnsi="宋体" w:cs="宋体"/>
          <w:color w:val="auto"/>
          <w:sz w:val="24"/>
        </w:rPr>
        <w:t>，从业人员人，营业收入为万元，资产总额为万元，属于</w:t>
      </w:r>
      <w:r>
        <w:rPr>
          <w:rFonts w:hint="eastAsia" w:ascii="宋体" w:hAnsi="宋体" w:cs="宋体"/>
          <w:i/>
          <w:color w:val="auto"/>
          <w:sz w:val="24"/>
          <w:u w:val="single"/>
        </w:rPr>
        <w:t>（中型企业、小型企业、微型企业）</w:t>
      </w:r>
      <w:r>
        <w:rPr>
          <w:rFonts w:hint="eastAsia" w:ascii="宋体" w:hAnsi="宋体" w:cs="宋体"/>
          <w:color w:val="auto"/>
          <w:sz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left="0" w:leftChars="0" w:right="782" w:firstLine="480" w:firstLineChars="200"/>
        <w:jc w:val="both"/>
        <w:textAlignment w:val="auto"/>
        <w:outlineLvl w:val="9"/>
        <w:rPr>
          <w:rFonts w:ascii="宋体" w:hAnsi="宋体" w:cs="宋体"/>
          <w:color w:val="auto"/>
          <w:sz w:val="24"/>
        </w:rPr>
      </w:pPr>
      <w:r>
        <w:rPr>
          <w:rFonts w:hint="eastAsia" w:ascii="宋体" w:hAnsi="宋体" w:cs="宋体"/>
          <w:color w:val="auto"/>
          <w:sz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left="0" w:leftChars="0" w:firstLine="480" w:firstLineChars="200"/>
        <w:jc w:val="both"/>
        <w:textAlignment w:val="auto"/>
        <w:outlineLvl w:val="9"/>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left="0" w:leftChars="0" w:firstLine="480" w:firstLineChars="200"/>
        <w:jc w:val="both"/>
        <w:textAlignment w:val="auto"/>
        <w:outlineLvl w:val="9"/>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left="0" w:leftChars="0" w:firstLine="480" w:firstLineChars="200"/>
        <w:jc w:val="both"/>
        <w:textAlignment w:val="auto"/>
        <w:outlineLvl w:val="9"/>
        <w:rPr>
          <w:rFonts w:ascii="宋体" w:hAnsi="宋体" w:cs="宋体"/>
          <w:color w:val="auto"/>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left="0" w:leftChars="0" w:firstLine="6120" w:firstLineChars="2550"/>
        <w:jc w:val="both"/>
        <w:textAlignment w:val="auto"/>
        <w:outlineLvl w:val="9"/>
        <w:rPr>
          <w:rFonts w:ascii="宋体" w:hAnsi="宋体" w:cs="宋体"/>
          <w:color w:val="auto"/>
          <w:sz w:val="24"/>
        </w:rPr>
      </w:pPr>
      <w:r>
        <w:rPr>
          <w:rFonts w:hint="eastAsia" w:ascii="宋体" w:hAnsi="宋体" w:cs="宋体"/>
          <w:color w:val="auto"/>
          <w:sz w:val="24"/>
        </w:rPr>
        <w:t xml:space="preserve">企业名称（盖章）：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left="0" w:leftChars="0" w:firstLine="6120" w:firstLineChars="2550"/>
        <w:jc w:val="both"/>
        <w:textAlignment w:val="auto"/>
        <w:outlineLvl w:val="9"/>
        <w:rPr>
          <w:rFonts w:ascii="宋体" w:hAnsi="宋体" w:cs="宋体"/>
          <w:color w:val="auto"/>
          <w:sz w:val="24"/>
        </w:rPr>
      </w:pPr>
      <w:r>
        <w:rPr>
          <w:rFonts w:hint="eastAsia" w:ascii="宋体" w:hAnsi="宋体" w:cs="宋体"/>
          <w:color w:val="auto"/>
          <w:sz w:val="24"/>
        </w:rPr>
        <w:t>日期：</w:t>
      </w:r>
    </w:p>
    <w:p>
      <w:pPr>
        <w:tabs>
          <w:tab w:val="left" w:pos="6300"/>
        </w:tabs>
        <w:snapToGrid w:val="0"/>
        <w:spacing w:line="420" w:lineRule="exact"/>
        <w:jc w:val="left"/>
        <w:rPr>
          <w:rFonts w:hint="eastAsia" w:ascii="宋体" w:hAnsi="宋体" w:eastAsia="宋体" w:cs="宋体"/>
          <w:color w:val="auto"/>
          <w:kern w:val="0"/>
          <w:sz w:val="24"/>
          <w:szCs w:val="24"/>
        </w:rPr>
      </w:pPr>
    </w:p>
    <w:p>
      <w:pPr>
        <w:tabs>
          <w:tab w:val="left" w:pos="6300"/>
        </w:tabs>
        <w:snapToGrid w:val="0"/>
        <w:spacing w:line="4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填写时应注意以下事项：</w:t>
      </w:r>
    </w:p>
    <w:p>
      <w:pPr>
        <w:tabs>
          <w:tab w:val="left" w:pos="6300"/>
        </w:tabs>
        <w:snapToGrid w:val="0"/>
        <w:spacing w:line="4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1.从业人员、营业收入、资产总额填报上一年度数据，无上一年度数据的新成立企业可不填报。</w:t>
      </w:r>
    </w:p>
    <w:p>
      <w:pPr>
        <w:tabs>
          <w:tab w:val="left" w:pos="6300"/>
        </w:tabs>
        <w:snapToGrid w:val="0"/>
        <w:spacing w:line="420" w:lineRule="exact"/>
        <w:ind w:firstLine="482" w:firstLineChars="200"/>
        <w:jc w:val="left"/>
        <w:rPr>
          <w:rFonts w:hint="eastAsia" w:ascii="宋体" w:hAnsi="宋体" w:eastAsia="宋体" w:cs="宋体"/>
          <w:b/>
          <w:color w:val="auto"/>
          <w:kern w:val="0"/>
          <w:sz w:val="24"/>
          <w:szCs w:val="24"/>
          <w:u w:val="single"/>
        </w:rPr>
      </w:pPr>
      <w:r>
        <w:rPr>
          <w:rFonts w:hint="eastAsia" w:ascii="宋体" w:hAnsi="宋体" w:eastAsia="宋体" w:cs="宋体"/>
          <w:b/>
          <w:color w:val="auto"/>
          <w:kern w:val="0"/>
          <w:sz w:val="24"/>
          <w:szCs w:val="24"/>
          <w:u w:val="single"/>
        </w:rPr>
        <w:t>2.中小企业应当按照《中小企业划型标准规定》（工信部联企业〔2011〕300号），如实填写并提交《中小企业声明函》。</w:t>
      </w:r>
    </w:p>
    <w:p>
      <w:pPr>
        <w:tabs>
          <w:tab w:val="left" w:pos="6300"/>
        </w:tabs>
        <w:snapToGrid w:val="0"/>
        <w:spacing w:line="420" w:lineRule="exact"/>
        <w:ind w:firstLine="482" w:firstLineChars="200"/>
        <w:jc w:val="left"/>
        <w:rPr>
          <w:rFonts w:hint="eastAsia" w:ascii="宋体" w:hAnsi="宋体" w:eastAsia="宋体" w:cs="宋体"/>
          <w:b/>
          <w:color w:val="auto"/>
          <w:kern w:val="0"/>
          <w:sz w:val="24"/>
          <w:szCs w:val="24"/>
          <w:u w:val="single"/>
        </w:rPr>
      </w:pPr>
      <w:r>
        <w:rPr>
          <w:rFonts w:hint="eastAsia" w:ascii="宋体" w:hAnsi="宋体" w:eastAsia="宋体" w:cs="宋体"/>
          <w:b/>
          <w:color w:val="auto"/>
          <w:kern w:val="0"/>
          <w:sz w:val="24"/>
          <w:szCs w:val="24"/>
          <w:u w:val="single"/>
        </w:rPr>
        <w:t>3.投标人填写《中小企业声明函》中所属行业时，应与采购文件第一篇“采购标的对应的中小企业划分标准所属行业”中填写的所属行业一致。</w:t>
      </w:r>
    </w:p>
    <w:p>
      <w:pPr>
        <w:tabs>
          <w:tab w:val="left" w:pos="6300"/>
        </w:tabs>
        <w:snapToGrid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注：各行业划型标准：</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监狱企业证明文件</w:t>
      </w:r>
    </w:p>
    <w:p>
      <w:pPr>
        <w:tabs>
          <w:tab w:val="left" w:pos="6300"/>
        </w:tabs>
        <w:snapToGrid w:val="0"/>
        <w:spacing w:line="400" w:lineRule="exact"/>
        <w:ind w:firstLine="561"/>
        <w:jc w:val="left"/>
        <w:rPr>
          <w:rFonts w:hint="eastAsia" w:ascii="宋体" w:hAnsi="宋体" w:eastAsia="宋体" w:cs="宋体"/>
          <w:color w:val="auto"/>
          <w:sz w:val="24"/>
          <w:szCs w:val="24"/>
        </w:rPr>
      </w:pPr>
      <w:r>
        <w:rPr>
          <w:rFonts w:hint="eastAsia" w:ascii="宋体" w:hAnsi="宋体" w:eastAsia="宋体" w:cs="宋体"/>
          <w:color w:val="auto"/>
          <w:sz w:val="24"/>
          <w:szCs w:val="24"/>
        </w:rPr>
        <w:t>以省级以上监狱管理局、戒毒管理局（含新疆生产建设兵团）出具的属于监狱企业的证明文件为准。</w:t>
      </w:r>
    </w:p>
    <w:p>
      <w:pPr>
        <w:tabs>
          <w:tab w:val="left" w:pos="6300"/>
        </w:tabs>
        <w:snapToGrid w:val="0"/>
        <w:spacing w:line="400" w:lineRule="exact"/>
        <w:ind w:firstLine="561"/>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 xml:space="preserve"> 残疾人福利性单位声明函</w:t>
      </w:r>
    </w:p>
    <w:p>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tabs>
          <w:tab w:val="left" w:pos="6300"/>
        </w:tabs>
        <w:snapToGrid w:val="0"/>
        <w:spacing w:line="500" w:lineRule="exact"/>
        <w:ind w:firstLine="480" w:firstLineChars="200"/>
        <w:rPr>
          <w:rFonts w:hint="eastAsia" w:ascii="宋体" w:hAnsi="宋体" w:eastAsia="宋体" w:cs="宋体"/>
          <w:color w:val="auto"/>
          <w:sz w:val="24"/>
          <w:szCs w:val="24"/>
        </w:rPr>
      </w:pPr>
    </w:p>
    <w:p>
      <w:pPr>
        <w:tabs>
          <w:tab w:val="left" w:pos="6300"/>
        </w:tabs>
        <w:snapToGrid w:val="0"/>
        <w:spacing w:line="500" w:lineRule="exact"/>
        <w:ind w:firstLine="480" w:firstLineChars="200"/>
        <w:rPr>
          <w:rFonts w:hint="eastAsia" w:ascii="宋体" w:hAnsi="宋体" w:eastAsia="宋体" w:cs="宋体"/>
          <w:color w:val="auto"/>
          <w:sz w:val="24"/>
          <w:szCs w:val="24"/>
        </w:rPr>
      </w:pPr>
    </w:p>
    <w:p>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投标人名称（盖章）：</w:t>
      </w:r>
    </w:p>
    <w:p>
      <w:pPr>
        <w:tabs>
          <w:tab w:val="left" w:pos="6300"/>
        </w:tabs>
        <w:snapToGrid w:val="0"/>
        <w:spacing w:line="500" w:lineRule="exact"/>
        <w:ind w:firstLine="57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p>
    <w:p>
      <w:pPr>
        <w:tabs>
          <w:tab w:val="left" w:pos="6300"/>
        </w:tabs>
        <w:snapToGrid w:val="0"/>
        <w:spacing w:line="500" w:lineRule="exact"/>
        <w:ind w:firstLine="570"/>
        <w:jc w:val="left"/>
        <w:rPr>
          <w:rFonts w:hint="eastAsia" w:ascii="宋体" w:hAnsi="宋体" w:eastAsia="宋体" w:cs="宋体"/>
          <w:color w:val="auto"/>
          <w:sz w:val="24"/>
          <w:szCs w:val="24"/>
        </w:rPr>
      </w:pPr>
    </w:p>
    <w:p>
      <w:pPr>
        <w:tabs>
          <w:tab w:val="left" w:pos="6300"/>
        </w:tabs>
        <w:snapToGrid w:val="0"/>
        <w:spacing w:line="500" w:lineRule="exact"/>
        <w:ind w:firstLine="570"/>
        <w:jc w:val="left"/>
        <w:rPr>
          <w:rFonts w:hint="eastAsia" w:ascii="宋体" w:hAnsi="宋体" w:eastAsia="宋体" w:cs="宋体"/>
          <w:color w:val="auto"/>
          <w:sz w:val="24"/>
          <w:szCs w:val="24"/>
        </w:rPr>
      </w:pPr>
    </w:p>
    <w:p>
      <w:pPr>
        <w:tabs>
          <w:tab w:val="left" w:pos="6300"/>
        </w:tabs>
        <w:snapToGrid w:val="0"/>
        <w:spacing w:line="500" w:lineRule="exact"/>
        <w:ind w:firstLine="570"/>
        <w:jc w:val="left"/>
        <w:rPr>
          <w:rFonts w:hint="eastAsia" w:ascii="宋体" w:hAnsi="宋体" w:eastAsia="宋体" w:cs="宋体"/>
          <w:color w:val="auto"/>
          <w:sz w:val="24"/>
          <w:szCs w:val="24"/>
        </w:rPr>
      </w:pPr>
    </w:p>
    <w:p>
      <w:pPr>
        <w:tabs>
          <w:tab w:val="left" w:pos="6300"/>
        </w:tabs>
        <w:snapToGrid w:val="0"/>
        <w:spacing w:line="500" w:lineRule="exact"/>
        <w:ind w:firstLine="570"/>
        <w:jc w:val="left"/>
        <w:rPr>
          <w:rFonts w:hint="eastAsia" w:ascii="宋体" w:hAnsi="宋体" w:eastAsia="宋体" w:cs="宋体"/>
          <w:color w:val="auto"/>
          <w:sz w:val="24"/>
          <w:szCs w:val="24"/>
        </w:rPr>
      </w:pPr>
    </w:p>
    <w:p>
      <w:pPr>
        <w:tabs>
          <w:tab w:val="left" w:pos="6300"/>
        </w:tabs>
        <w:snapToGrid w:val="0"/>
        <w:spacing w:line="500" w:lineRule="exact"/>
        <w:ind w:firstLine="570"/>
        <w:jc w:val="left"/>
        <w:rPr>
          <w:rFonts w:hint="eastAsia" w:ascii="宋体" w:hAnsi="宋体" w:eastAsia="宋体" w:cs="宋体"/>
          <w:color w:val="auto"/>
          <w:sz w:val="24"/>
          <w:szCs w:val="24"/>
        </w:rPr>
      </w:pPr>
    </w:p>
    <w:p>
      <w:pPr>
        <w:tabs>
          <w:tab w:val="left" w:pos="6300"/>
        </w:tabs>
        <w:snapToGrid w:val="0"/>
        <w:spacing w:line="500" w:lineRule="exact"/>
        <w:ind w:firstLine="570"/>
        <w:jc w:val="left"/>
        <w:rPr>
          <w:rFonts w:hint="eastAsia" w:ascii="宋体" w:hAnsi="宋体" w:eastAsia="宋体" w:cs="宋体"/>
          <w:color w:val="auto"/>
          <w:sz w:val="24"/>
          <w:szCs w:val="24"/>
        </w:rPr>
      </w:pPr>
    </w:p>
    <w:p>
      <w:pPr>
        <w:tabs>
          <w:tab w:val="left" w:pos="6300"/>
        </w:tabs>
        <w:snapToGrid w:val="0"/>
        <w:spacing w:line="500" w:lineRule="exact"/>
        <w:ind w:firstLine="570"/>
        <w:jc w:val="left"/>
        <w:rPr>
          <w:rFonts w:hint="eastAsia" w:ascii="宋体" w:hAnsi="宋体" w:eastAsia="宋体" w:cs="宋体"/>
          <w:color w:val="auto"/>
          <w:sz w:val="24"/>
          <w:szCs w:val="24"/>
        </w:rPr>
      </w:pPr>
    </w:p>
    <w:p>
      <w:pPr>
        <w:tabs>
          <w:tab w:val="left" w:pos="6300"/>
        </w:tabs>
        <w:snapToGrid w:val="0"/>
        <w:spacing w:line="500" w:lineRule="exact"/>
        <w:ind w:firstLine="570"/>
        <w:jc w:val="left"/>
        <w:rPr>
          <w:rFonts w:hint="eastAsia" w:ascii="宋体" w:hAnsi="宋体" w:eastAsia="宋体" w:cs="宋体"/>
          <w:color w:val="auto"/>
          <w:sz w:val="24"/>
          <w:szCs w:val="24"/>
        </w:rPr>
      </w:pPr>
    </w:p>
    <w:p>
      <w:pPr>
        <w:tabs>
          <w:tab w:val="left" w:pos="6300"/>
        </w:tabs>
        <w:snapToGrid w:val="0"/>
        <w:spacing w:line="500" w:lineRule="exact"/>
        <w:ind w:firstLine="570"/>
        <w:jc w:val="left"/>
        <w:rPr>
          <w:rFonts w:hint="eastAsia" w:ascii="宋体" w:hAnsi="宋体" w:eastAsia="宋体" w:cs="宋体"/>
          <w:color w:val="auto"/>
          <w:sz w:val="24"/>
          <w:szCs w:val="24"/>
        </w:rPr>
      </w:pPr>
    </w:p>
    <w:p>
      <w:pPr>
        <w:tabs>
          <w:tab w:val="left" w:pos="6300"/>
        </w:tabs>
        <w:snapToGrid w:val="0"/>
        <w:spacing w:line="500" w:lineRule="exact"/>
        <w:ind w:firstLine="570"/>
        <w:jc w:val="left"/>
        <w:rPr>
          <w:rFonts w:hint="eastAsia" w:ascii="宋体" w:hAnsi="宋体" w:eastAsia="宋体" w:cs="宋体"/>
          <w:color w:val="auto"/>
          <w:sz w:val="24"/>
          <w:szCs w:val="24"/>
        </w:rPr>
      </w:pPr>
    </w:p>
    <w:p>
      <w:pPr>
        <w:tabs>
          <w:tab w:val="left" w:pos="6300"/>
        </w:tabs>
        <w:snapToGrid w:val="0"/>
        <w:spacing w:line="500" w:lineRule="exact"/>
        <w:ind w:firstLine="570"/>
        <w:jc w:val="left"/>
        <w:rPr>
          <w:rFonts w:hint="eastAsia" w:ascii="宋体" w:hAnsi="宋体" w:cs="宋体"/>
          <w:color w:val="auto"/>
        </w:rPr>
      </w:pPr>
      <w:r>
        <w:rPr>
          <w:rFonts w:hint="eastAsia" w:ascii="宋体" w:hAnsi="宋体" w:eastAsia="宋体" w:cs="宋体"/>
          <w:color w:val="auto"/>
          <w:kern w:val="0"/>
          <w:sz w:val="24"/>
          <w:szCs w:val="24"/>
        </w:rPr>
        <w:t>若中标人为残疾人福利性单位的，将在结果公告时公告其《残疾人福利性单位声明函》。</w:t>
      </w:r>
      <w:r>
        <w:rPr>
          <w:rFonts w:hint="eastAsia" w:ascii="方正仿宋_GBK" w:hAnsi="仿宋" w:eastAsia="方正仿宋_GBK"/>
          <w:color w:val="auto"/>
        </w:rPr>
        <w:br w:type="page"/>
      </w:r>
      <w:r>
        <w:rPr>
          <w:rFonts w:hint="eastAsia" w:ascii="宋体" w:hAnsi="宋体" w:cs="宋体"/>
          <w:color w:val="auto"/>
        </w:rPr>
        <w:t>二、技术文件</w:t>
      </w:r>
    </w:p>
    <w:p>
      <w:pPr>
        <w:tabs>
          <w:tab w:val="left" w:pos="6300"/>
        </w:tabs>
        <w:snapToGrid w:val="0"/>
        <w:spacing w:line="500" w:lineRule="exact"/>
        <w:jc w:val="left"/>
        <w:rPr>
          <w:rFonts w:hint="eastAsia"/>
          <w:color w:val="auto"/>
          <w:szCs w:val="24"/>
        </w:rPr>
      </w:pPr>
      <w:r>
        <w:rPr>
          <w:rFonts w:hint="eastAsia" w:ascii="宋体" w:hAnsi="宋体"/>
          <w:color w:val="auto"/>
          <w:sz w:val="24"/>
          <w:szCs w:val="24"/>
        </w:rPr>
        <w:t>（</w:t>
      </w:r>
      <w:r>
        <w:rPr>
          <w:rFonts w:hint="eastAsia" w:ascii="宋体" w:hAnsi="宋体"/>
          <w:color w:val="auto"/>
          <w:szCs w:val="28"/>
        </w:rPr>
        <w:t>一）技术条款差异表</w:t>
      </w:r>
    </w:p>
    <w:p>
      <w:pPr>
        <w:tabs>
          <w:tab w:val="left" w:pos="6300"/>
        </w:tabs>
        <w:snapToGrid w:val="0"/>
        <w:spacing w:line="500" w:lineRule="exact"/>
        <w:ind w:firstLine="480" w:firstLineChars="200"/>
        <w:rPr>
          <w:rFonts w:hint="eastAsia" w:eastAsia="宋体"/>
          <w:color w:val="auto"/>
          <w:sz w:val="24"/>
          <w:szCs w:val="24"/>
          <w:lang w:eastAsia="zh-CN"/>
        </w:rPr>
      </w:pPr>
      <w:r>
        <w:rPr>
          <w:rFonts w:hint="eastAsia"/>
          <w:color w:val="auto"/>
          <w:sz w:val="24"/>
          <w:szCs w:val="24"/>
        </w:rPr>
        <w:t>项目名称：</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500" w:lineRule="exact"/>
              <w:jc w:val="center"/>
              <w:outlineLvl w:val="0"/>
              <w:rPr>
                <w:rFonts w:hint="eastAsia"/>
                <w:color w:val="auto"/>
                <w:sz w:val="21"/>
                <w:szCs w:val="21"/>
              </w:rPr>
            </w:pPr>
            <w:r>
              <w:rPr>
                <w:rFonts w:hint="eastAsia"/>
                <w:color w:val="auto"/>
                <w:sz w:val="21"/>
                <w:szCs w:val="21"/>
              </w:rPr>
              <w:t>序号</w:t>
            </w:r>
          </w:p>
        </w:tc>
        <w:tc>
          <w:tcPr>
            <w:tcW w:w="2658" w:type="dxa"/>
            <w:noWrap w:val="0"/>
            <w:vAlign w:val="center"/>
          </w:tcPr>
          <w:p>
            <w:pPr>
              <w:tabs>
                <w:tab w:val="left" w:pos="6300"/>
              </w:tabs>
              <w:snapToGrid w:val="0"/>
              <w:spacing w:line="500" w:lineRule="exact"/>
              <w:jc w:val="center"/>
              <w:outlineLvl w:val="0"/>
              <w:rPr>
                <w:rFonts w:hint="eastAsia"/>
                <w:color w:val="auto"/>
                <w:sz w:val="21"/>
                <w:szCs w:val="21"/>
              </w:rPr>
            </w:pPr>
            <w:r>
              <w:rPr>
                <w:rFonts w:hint="eastAsia"/>
                <w:color w:val="auto"/>
                <w:sz w:val="21"/>
                <w:szCs w:val="21"/>
              </w:rPr>
              <w:t>采购需求</w:t>
            </w:r>
          </w:p>
        </w:tc>
        <w:tc>
          <w:tcPr>
            <w:tcW w:w="2759" w:type="dxa"/>
            <w:noWrap w:val="0"/>
            <w:vAlign w:val="center"/>
          </w:tcPr>
          <w:p>
            <w:pPr>
              <w:tabs>
                <w:tab w:val="left" w:pos="6300"/>
              </w:tabs>
              <w:snapToGrid w:val="0"/>
              <w:spacing w:line="500" w:lineRule="exact"/>
              <w:jc w:val="center"/>
              <w:outlineLvl w:val="0"/>
              <w:rPr>
                <w:rFonts w:hint="eastAsia"/>
                <w:color w:val="auto"/>
                <w:sz w:val="21"/>
                <w:szCs w:val="21"/>
              </w:rPr>
            </w:pPr>
            <w:r>
              <w:rPr>
                <w:rFonts w:hint="eastAsia"/>
                <w:color w:val="auto"/>
                <w:sz w:val="21"/>
                <w:szCs w:val="21"/>
              </w:rPr>
              <w:t>响应情况</w:t>
            </w:r>
          </w:p>
        </w:tc>
        <w:tc>
          <w:tcPr>
            <w:tcW w:w="2455" w:type="dxa"/>
            <w:noWrap w:val="0"/>
            <w:vAlign w:val="center"/>
          </w:tcPr>
          <w:p>
            <w:pPr>
              <w:tabs>
                <w:tab w:val="left" w:pos="6300"/>
              </w:tabs>
              <w:snapToGrid w:val="0"/>
              <w:spacing w:line="500" w:lineRule="exact"/>
              <w:jc w:val="center"/>
              <w:outlineLvl w:val="0"/>
              <w:rPr>
                <w:rFonts w:hint="eastAsia"/>
                <w:color w:val="auto"/>
                <w:sz w:val="21"/>
                <w:szCs w:val="21"/>
              </w:rPr>
            </w:pPr>
            <w:r>
              <w:rPr>
                <w:rFonts w:hint="eastAsia"/>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color w:val="auto"/>
                <w:sz w:val="21"/>
                <w:szCs w:val="21"/>
              </w:rPr>
            </w:pPr>
          </w:p>
        </w:tc>
        <w:tc>
          <w:tcPr>
            <w:tcW w:w="2658" w:type="dxa"/>
            <w:noWrap w:val="0"/>
            <w:vAlign w:val="center"/>
          </w:tcPr>
          <w:p>
            <w:pPr>
              <w:tabs>
                <w:tab w:val="left" w:pos="6300"/>
              </w:tabs>
              <w:snapToGrid w:val="0"/>
              <w:spacing w:line="500" w:lineRule="exact"/>
              <w:jc w:val="center"/>
              <w:outlineLvl w:val="0"/>
              <w:rPr>
                <w:rFonts w:hint="eastAsia"/>
                <w:color w:val="auto"/>
                <w:sz w:val="21"/>
                <w:szCs w:val="21"/>
              </w:rPr>
            </w:pPr>
          </w:p>
        </w:tc>
        <w:tc>
          <w:tcPr>
            <w:tcW w:w="2759" w:type="dxa"/>
            <w:noWrap w:val="0"/>
            <w:vAlign w:val="center"/>
          </w:tcPr>
          <w:p>
            <w:pPr>
              <w:tabs>
                <w:tab w:val="left" w:pos="6300"/>
              </w:tabs>
              <w:snapToGrid w:val="0"/>
              <w:spacing w:line="500" w:lineRule="exact"/>
              <w:jc w:val="center"/>
              <w:outlineLvl w:val="0"/>
              <w:rPr>
                <w:rFonts w:hint="eastAsia"/>
                <w:color w:val="auto"/>
                <w:sz w:val="21"/>
                <w:szCs w:val="21"/>
              </w:rPr>
            </w:pPr>
          </w:p>
        </w:tc>
        <w:tc>
          <w:tcPr>
            <w:tcW w:w="2455" w:type="dxa"/>
            <w:noWrap w:val="0"/>
            <w:vAlign w:val="center"/>
          </w:tcPr>
          <w:p>
            <w:pPr>
              <w:tabs>
                <w:tab w:val="left" w:pos="6300"/>
              </w:tabs>
              <w:snapToGrid w:val="0"/>
              <w:spacing w:line="500" w:lineRule="exact"/>
              <w:jc w:val="center"/>
              <w:outlineLvl w:val="0"/>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color w:val="auto"/>
                <w:sz w:val="21"/>
                <w:szCs w:val="21"/>
              </w:rPr>
            </w:pPr>
          </w:p>
        </w:tc>
        <w:tc>
          <w:tcPr>
            <w:tcW w:w="2658" w:type="dxa"/>
            <w:noWrap w:val="0"/>
            <w:vAlign w:val="center"/>
          </w:tcPr>
          <w:p>
            <w:pPr>
              <w:tabs>
                <w:tab w:val="left" w:pos="6300"/>
              </w:tabs>
              <w:snapToGrid w:val="0"/>
              <w:spacing w:line="500" w:lineRule="exact"/>
              <w:jc w:val="center"/>
              <w:outlineLvl w:val="0"/>
              <w:rPr>
                <w:rFonts w:hint="eastAsia"/>
                <w:color w:val="auto"/>
                <w:sz w:val="21"/>
                <w:szCs w:val="21"/>
              </w:rPr>
            </w:pPr>
          </w:p>
        </w:tc>
        <w:tc>
          <w:tcPr>
            <w:tcW w:w="2759" w:type="dxa"/>
            <w:noWrap w:val="0"/>
            <w:vAlign w:val="center"/>
          </w:tcPr>
          <w:p>
            <w:pPr>
              <w:tabs>
                <w:tab w:val="left" w:pos="6300"/>
              </w:tabs>
              <w:snapToGrid w:val="0"/>
              <w:spacing w:line="500" w:lineRule="exact"/>
              <w:jc w:val="center"/>
              <w:outlineLvl w:val="0"/>
              <w:rPr>
                <w:rFonts w:hint="eastAsia"/>
                <w:color w:val="auto"/>
                <w:sz w:val="21"/>
                <w:szCs w:val="21"/>
              </w:rPr>
            </w:pPr>
          </w:p>
        </w:tc>
        <w:tc>
          <w:tcPr>
            <w:tcW w:w="2455" w:type="dxa"/>
            <w:noWrap w:val="0"/>
            <w:vAlign w:val="center"/>
          </w:tcPr>
          <w:p>
            <w:pPr>
              <w:tabs>
                <w:tab w:val="left" w:pos="6300"/>
              </w:tabs>
              <w:snapToGrid w:val="0"/>
              <w:spacing w:line="500" w:lineRule="exact"/>
              <w:jc w:val="center"/>
              <w:outlineLvl w:val="0"/>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color w:val="auto"/>
                <w:sz w:val="21"/>
                <w:szCs w:val="21"/>
              </w:rPr>
            </w:pPr>
          </w:p>
        </w:tc>
        <w:tc>
          <w:tcPr>
            <w:tcW w:w="2658" w:type="dxa"/>
            <w:noWrap w:val="0"/>
            <w:vAlign w:val="center"/>
          </w:tcPr>
          <w:p>
            <w:pPr>
              <w:tabs>
                <w:tab w:val="left" w:pos="6300"/>
              </w:tabs>
              <w:snapToGrid w:val="0"/>
              <w:spacing w:line="500" w:lineRule="exact"/>
              <w:jc w:val="center"/>
              <w:outlineLvl w:val="0"/>
              <w:rPr>
                <w:rFonts w:hint="eastAsia"/>
                <w:color w:val="auto"/>
                <w:sz w:val="21"/>
                <w:szCs w:val="21"/>
              </w:rPr>
            </w:pPr>
          </w:p>
        </w:tc>
        <w:tc>
          <w:tcPr>
            <w:tcW w:w="2759" w:type="dxa"/>
            <w:noWrap w:val="0"/>
            <w:vAlign w:val="center"/>
          </w:tcPr>
          <w:p>
            <w:pPr>
              <w:tabs>
                <w:tab w:val="left" w:pos="6300"/>
              </w:tabs>
              <w:snapToGrid w:val="0"/>
              <w:spacing w:line="500" w:lineRule="exact"/>
              <w:jc w:val="center"/>
              <w:outlineLvl w:val="0"/>
              <w:rPr>
                <w:rFonts w:hint="eastAsia"/>
                <w:color w:val="auto"/>
                <w:sz w:val="21"/>
                <w:szCs w:val="21"/>
              </w:rPr>
            </w:pPr>
          </w:p>
        </w:tc>
        <w:tc>
          <w:tcPr>
            <w:tcW w:w="2455" w:type="dxa"/>
            <w:noWrap w:val="0"/>
            <w:vAlign w:val="center"/>
          </w:tcPr>
          <w:p>
            <w:pPr>
              <w:tabs>
                <w:tab w:val="left" w:pos="6300"/>
              </w:tabs>
              <w:snapToGrid w:val="0"/>
              <w:spacing w:line="500" w:lineRule="exact"/>
              <w:jc w:val="center"/>
              <w:outlineLvl w:val="0"/>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color w:val="auto"/>
                <w:sz w:val="21"/>
                <w:szCs w:val="21"/>
              </w:rPr>
            </w:pPr>
          </w:p>
        </w:tc>
        <w:tc>
          <w:tcPr>
            <w:tcW w:w="2658" w:type="dxa"/>
            <w:noWrap w:val="0"/>
            <w:vAlign w:val="center"/>
          </w:tcPr>
          <w:p>
            <w:pPr>
              <w:tabs>
                <w:tab w:val="left" w:pos="6300"/>
              </w:tabs>
              <w:snapToGrid w:val="0"/>
              <w:spacing w:line="500" w:lineRule="exact"/>
              <w:jc w:val="center"/>
              <w:outlineLvl w:val="0"/>
              <w:rPr>
                <w:rFonts w:hint="eastAsia"/>
                <w:color w:val="auto"/>
                <w:sz w:val="21"/>
                <w:szCs w:val="21"/>
              </w:rPr>
            </w:pPr>
          </w:p>
        </w:tc>
        <w:tc>
          <w:tcPr>
            <w:tcW w:w="2759" w:type="dxa"/>
            <w:noWrap w:val="0"/>
            <w:vAlign w:val="center"/>
          </w:tcPr>
          <w:p>
            <w:pPr>
              <w:tabs>
                <w:tab w:val="left" w:pos="6300"/>
              </w:tabs>
              <w:snapToGrid w:val="0"/>
              <w:spacing w:line="500" w:lineRule="exact"/>
              <w:jc w:val="center"/>
              <w:outlineLvl w:val="0"/>
              <w:rPr>
                <w:rFonts w:hint="eastAsia"/>
                <w:color w:val="auto"/>
                <w:sz w:val="21"/>
                <w:szCs w:val="21"/>
              </w:rPr>
            </w:pPr>
          </w:p>
        </w:tc>
        <w:tc>
          <w:tcPr>
            <w:tcW w:w="2455" w:type="dxa"/>
            <w:noWrap w:val="0"/>
            <w:vAlign w:val="center"/>
          </w:tcPr>
          <w:p>
            <w:pPr>
              <w:tabs>
                <w:tab w:val="left" w:pos="6300"/>
              </w:tabs>
              <w:snapToGrid w:val="0"/>
              <w:spacing w:line="500" w:lineRule="exact"/>
              <w:jc w:val="center"/>
              <w:outlineLvl w:val="0"/>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color w:val="auto"/>
                <w:sz w:val="21"/>
                <w:szCs w:val="21"/>
              </w:rPr>
            </w:pPr>
          </w:p>
        </w:tc>
        <w:tc>
          <w:tcPr>
            <w:tcW w:w="2658" w:type="dxa"/>
            <w:noWrap w:val="0"/>
            <w:vAlign w:val="center"/>
          </w:tcPr>
          <w:p>
            <w:pPr>
              <w:tabs>
                <w:tab w:val="left" w:pos="6300"/>
              </w:tabs>
              <w:snapToGrid w:val="0"/>
              <w:spacing w:line="500" w:lineRule="exact"/>
              <w:jc w:val="center"/>
              <w:outlineLvl w:val="0"/>
              <w:rPr>
                <w:rFonts w:hint="eastAsia"/>
                <w:color w:val="auto"/>
                <w:sz w:val="21"/>
                <w:szCs w:val="21"/>
              </w:rPr>
            </w:pPr>
          </w:p>
        </w:tc>
        <w:tc>
          <w:tcPr>
            <w:tcW w:w="2759" w:type="dxa"/>
            <w:noWrap w:val="0"/>
            <w:vAlign w:val="center"/>
          </w:tcPr>
          <w:p>
            <w:pPr>
              <w:tabs>
                <w:tab w:val="left" w:pos="6300"/>
              </w:tabs>
              <w:snapToGrid w:val="0"/>
              <w:spacing w:line="500" w:lineRule="exact"/>
              <w:jc w:val="center"/>
              <w:outlineLvl w:val="0"/>
              <w:rPr>
                <w:rFonts w:hint="eastAsia"/>
                <w:color w:val="auto"/>
                <w:sz w:val="21"/>
                <w:szCs w:val="21"/>
              </w:rPr>
            </w:pPr>
          </w:p>
        </w:tc>
        <w:tc>
          <w:tcPr>
            <w:tcW w:w="2455" w:type="dxa"/>
            <w:noWrap w:val="0"/>
            <w:vAlign w:val="center"/>
          </w:tcPr>
          <w:p>
            <w:pPr>
              <w:tabs>
                <w:tab w:val="left" w:pos="6300"/>
              </w:tabs>
              <w:snapToGrid w:val="0"/>
              <w:spacing w:line="500" w:lineRule="exact"/>
              <w:jc w:val="center"/>
              <w:outlineLvl w:val="0"/>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color w:val="auto"/>
                <w:sz w:val="21"/>
                <w:szCs w:val="21"/>
              </w:rPr>
            </w:pPr>
          </w:p>
        </w:tc>
        <w:tc>
          <w:tcPr>
            <w:tcW w:w="2658" w:type="dxa"/>
            <w:noWrap w:val="0"/>
            <w:vAlign w:val="center"/>
          </w:tcPr>
          <w:p>
            <w:pPr>
              <w:tabs>
                <w:tab w:val="left" w:pos="6300"/>
              </w:tabs>
              <w:snapToGrid w:val="0"/>
              <w:spacing w:line="500" w:lineRule="exact"/>
              <w:jc w:val="center"/>
              <w:outlineLvl w:val="0"/>
              <w:rPr>
                <w:rFonts w:hint="eastAsia"/>
                <w:color w:val="auto"/>
                <w:sz w:val="21"/>
                <w:szCs w:val="21"/>
              </w:rPr>
            </w:pPr>
          </w:p>
        </w:tc>
        <w:tc>
          <w:tcPr>
            <w:tcW w:w="2759" w:type="dxa"/>
            <w:noWrap w:val="0"/>
            <w:vAlign w:val="center"/>
          </w:tcPr>
          <w:p>
            <w:pPr>
              <w:tabs>
                <w:tab w:val="left" w:pos="6300"/>
              </w:tabs>
              <w:snapToGrid w:val="0"/>
              <w:spacing w:line="500" w:lineRule="exact"/>
              <w:jc w:val="center"/>
              <w:outlineLvl w:val="0"/>
              <w:rPr>
                <w:rFonts w:hint="eastAsia"/>
                <w:color w:val="auto"/>
                <w:sz w:val="21"/>
                <w:szCs w:val="21"/>
              </w:rPr>
            </w:pPr>
          </w:p>
        </w:tc>
        <w:tc>
          <w:tcPr>
            <w:tcW w:w="2455" w:type="dxa"/>
            <w:noWrap w:val="0"/>
            <w:vAlign w:val="center"/>
          </w:tcPr>
          <w:p>
            <w:pPr>
              <w:tabs>
                <w:tab w:val="left" w:pos="6300"/>
              </w:tabs>
              <w:snapToGrid w:val="0"/>
              <w:spacing w:line="500" w:lineRule="exact"/>
              <w:jc w:val="center"/>
              <w:outlineLvl w:val="0"/>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color w:val="auto"/>
                <w:sz w:val="21"/>
                <w:szCs w:val="21"/>
              </w:rPr>
            </w:pPr>
          </w:p>
        </w:tc>
        <w:tc>
          <w:tcPr>
            <w:tcW w:w="2658" w:type="dxa"/>
            <w:noWrap w:val="0"/>
            <w:vAlign w:val="center"/>
          </w:tcPr>
          <w:p>
            <w:pPr>
              <w:tabs>
                <w:tab w:val="left" w:pos="6300"/>
              </w:tabs>
              <w:snapToGrid w:val="0"/>
              <w:spacing w:line="500" w:lineRule="exact"/>
              <w:jc w:val="center"/>
              <w:outlineLvl w:val="0"/>
              <w:rPr>
                <w:rFonts w:hint="eastAsia"/>
                <w:color w:val="auto"/>
                <w:sz w:val="21"/>
                <w:szCs w:val="21"/>
              </w:rPr>
            </w:pPr>
          </w:p>
        </w:tc>
        <w:tc>
          <w:tcPr>
            <w:tcW w:w="2759" w:type="dxa"/>
            <w:noWrap w:val="0"/>
            <w:vAlign w:val="center"/>
          </w:tcPr>
          <w:p>
            <w:pPr>
              <w:tabs>
                <w:tab w:val="left" w:pos="6300"/>
              </w:tabs>
              <w:snapToGrid w:val="0"/>
              <w:spacing w:line="500" w:lineRule="exact"/>
              <w:jc w:val="center"/>
              <w:outlineLvl w:val="0"/>
              <w:rPr>
                <w:rFonts w:hint="eastAsia"/>
                <w:color w:val="auto"/>
                <w:sz w:val="21"/>
                <w:szCs w:val="21"/>
              </w:rPr>
            </w:pPr>
          </w:p>
        </w:tc>
        <w:tc>
          <w:tcPr>
            <w:tcW w:w="2455" w:type="dxa"/>
            <w:noWrap w:val="0"/>
            <w:vAlign w:val="center"/>
          </w:tcPr>
          <w:p>
            <w:pPr>
              <w:tabs>
                <w:tab w:val="left" w:pos="6300"/>
              </w:tabs>
              <w:snapToGrid w:val="0"/>
              <w:spacing w:line="500" w:lineRule="exact"/>
              <w:jc w:val="center"/>
              <w:outlineLvl w:val="0"/>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color w:val="auto"/>
                <w:sz w:val="21"/>
                <w:szCs w:val="21"/>
              </w:rPr>
            </w:pPr>
          </w:p>
        </w:tc>
        <w:tc>
          <w:tcPr>
            <w:tcW w:w="2658" w:type="dxa"/>
            <w:noWrap w:val="0"/>
            <w:vAlign w:val="center"/>
          </w:tcPr>
          <w:p>
            <w:pPr>
              <w:tabs>
                <w:tab w:val="left" w:pos="6300"/>
              </w:tabs>
              <w:snapToGrid w:val="0"/>
              <w:spacing w:line="500" w:lineRule="exact"/>
              <w:jc w:val="center"/>
              <w:outlineLvl w:val="0"/>
              <w:rPr>
                <w:rFonts w:hint="eastAsia"/>
                <w:color w:val="auto"/>
                <w:sz w:val="21"/>
                <w:szCs w:val="21"/>
              </w:rPr>
            </w:pPr>
          </w:p>
        </w:tc>
        <w:tc>
          <w:tcPr>
            <w:tcW w:w="2759" w:type="dxa"/>
            <w:noWrap w:val="0"/>
            <w:vAlign w:val="center"/>
          </w:tcPr>
          <w:p>
            <w:pPr>
              <w:tabs>
                <w:tab w:val="left" w:pos="6300"/>
              </w:tabs>
              <w:snapToGrid w:val="0"/>
              <w:spacing w:line="500" w:lineRule="exact"/>
              <w:jc w:val="center"/>
              <w:outlineLvl w:val="0"/>
              <w:rPr>
                <w:rFonts w:hint="eastAsia"/>
                <w:color w:val="auto"/>
                <w:sz w:val="21"/>
                <w:szCs w:val="21"/>
              </w:rPr>
            </w:pPr>
          </w:p>
        </w:tc>
        <w:tc>
          <w:tcPr>
            <w:tcW w:w="2455" w:type="dxa"/>
            <w:noWrap w:val="0"/>
            <w:vAlign w:val="center"/>
          </w:tcPr>
          <w:p>
            <w:pPr>
              <w:tabs>
                <w:tab w:val="left" w:pos="6300"/>
              </w:tabs>
              <w:snapToGrid w:val="0"/>
              <w:spacing w:line="500" w:lineRule="exact"/>
              <w:jc w:val="center"/>
              <w:outlineLvl w:val="0"/>
              <w:rPr>
                <w:rFonts w:hint="eastAsia"/>
                <w:color w:val="auto"/>
                <w:sz w:val="21"/>
                <w:szCs w:val="21"/>
              </w:rPr>
            </w:pPr>
          </w:p>
        </w:tc>
      </w:tr>
    </w:tbl>
    <w:p>
      <w:pPr>
        <w:spacing w:line="500" w:lineRule="exact"/>
        <w:ind w:firstLine="600" w:firstLineChars="250"/>
        <w:rPr>
          <w:rFonts w:hint="eastAsia"/>
          <w:color w:val="auto"/>
          <w:sz w:val="24"/>
          <w:szCs w:val="28"/>
        </w:rPr>
      </w:pPr>
      <w:r>
        <w:rPr>
          <w:rFonts w:hint="eastAsia"/>
          <w:color w:val="auto"/>
          <w:sz w:val="24"/>
          <w:szCs w:val="28"/>
        </w:rPr>
        <w:t>供应商：                                     法定代表人授权代表：</w:t>
      </w:r>
    </w:p>
    <w:p>
      <w:pPr>
        <w:spacing w:line="500" w:lineRule="exact"/>
        <w:rPr>
          <w:rFonts w:hint="eastAsia"/>
          <w:color w:val="auto"/>
          <w:sz w:val="24"/>
          <w:szCs w:val="28"/>
        </w:rPr>
      </w:pPr>
      <w:r>
        <w:rPr>
          <w:rFonts w:hint="eastAsia"/>
          <w:color w:val="auto"/>
          <w:sz w:val="24"/>
          <w:szCs w:val="28"/>
        </w:rPr>
        <w:t xml:space="preserve">    </w:t>
      </w:r>
    </w:p>
    <w:p>
      <w:pPr>
        <w:spacing w:line="500" w:lineRule="exact"/>
        <w:ind w:firstLine="720" w:firstLineChars="300"/>
        <w:rPr>
          <w:rFonts w:hint="eastAsia"/>
          <w:color w:val="auto"/>
          <w:sz w:val="24"/>
          <w:szCs w:val="28"/>
        </w:rPr>
      </w:pPr>
      <w:r>
        <w:rPr>
          <w:rFonts w:hint="eastAsia"/>
          <w:color w:val="auto"/>
          <w:sz w:val="24"/>
          <w:szCs w:val="28"/>
        </w:rPr>
        <w:t>（供应商公章）                               （签字或盖章）</w:t>
      </w:r>
    </w:p>
    <w:p>
      <w:pPr>
        <w:tabs>
          <w:tab w:val="left" w:pos="6300"/>
        </w:tabs>
        <w:snapToGrid w:val="0"/>
        <w:spacing w:line="500" w:lineRule="exact"/>
        <w:ind w:firstLine="570"/>
        <w:rPr>
          <w:rFonts w:hint="eastAsia"/>
          <w:color w:val="auto"/>
          <w:sz w:val="24"/>
        </w:rPr>
      </w:pPr>
      <w:r>
        <w:rPr>
          <w:rFonts w:hint="eastAsia"/>
          <w:color w:val="auto"/>
          <w:sz w:val="24"/>
          <w:szCs w:val="28"/>
        </w:rPr>
        <w:t xml:space="preserve">                                            年     月     日</w:t>
      </w:r>
    </w:p>
    <w:p>
      <w:pPr>
        <w:tabs>
          <w:tab w:val="left" w:pos="6300"/>
        </w:tabs>
        <w:snapToGrid w:val="0"/>
        <w:spacing w:line="500" w:lineRule="exact"/>
        <w:ind w:firstLine="480" w:firstLineChars="200"/>
        <w:rPr>
          <w:rFonts w:hint="eastAsia"/>
          <w:color w:val="auto"/>
          <w:sz w:val="24"/>
        </w:rPr>
      </w:pPr>
      <w:r>
        <w:rPr>
          <w:rFonts w:hint="eastAsia"/>
          <w:color w:val="auto"/>
          <w:sz w:val="24"/>
        </w:rPr>
        <w:t>注：</w:t>
      </w:r>
    </w:p>
    <w:p>
      <w:pPr>
        <w:tabs>
          <w:tab w:val="left" w:pos="6300"/>
        </w:tabs>
        <w:snapToGrid w:val="0"/>
        <w:spacing w:line="500" w:lineRule="exact"/>
        <w:ind w:firstLine="480" w:firstLineChars="200"/>
        <w:rPr>
          <w:rFonts w:hint="eastAsia"/>
          <w:color w:val="auto"/>
          <w:sz w:val="24"/>
        </w:rPr>
      </w:pPr>
      <w:r>
        <w:rPr>
          <w:rFonts w:hint="eastAsia"/>
          <w:color w:val="auto"/>
          <w:sz w:val="24"/>
          <w:szCs w:val="24"/>
        </w:rPr>
        <w:t>1</w:t>
      </w:r>
      <w:r>
        <w:rPr>
          <w:rFonts w:hint="eastAsia"/>
          <w:color w:val="auto"/>
          <w:sz w:val="24"/>
        </w:rPr>
        <w:t>、本表即为对本项目“第二篇  询价采购项目技术需求”所列技术要求进行比较和响应；</w:t>
      </w:r>
    </w:p>
    <w:p>
      <w:pPr>
        <w:tabs>
          <w:tab w:val="left" w:pos="6300"/>
        </w:tabs>
        <w:snapToGrid w:val="0"/>
        <w:spacing w:line="500" w:lineRule="exact"/>
        <w:ind w:firstLine="480" w:firstLineChars="200"/>
        <w:rPr>
          <w:rFonts w:hint="eastAsia"/>
          <w:color w:val="auto"/>
          <w:sz w:val="24"/>
        </w:rPr>
      </w:pPr>
      <w:r>
        <w:rPr>
          <w:rFonts w:hint="eastAsia"/>
          <w:color w:val="auto"/>
          <w:sz w:val="24"/>
        </w:rPr>
        <w:t>2、该表必须按照询价要求逐条如实填写，根据响应情况在“差异说明”项填写正偏离或负偏离及原因，完全符合的填写“无差异”；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color w:val="auto"/>
          <w:sz w:val="24"/>
        </w:rPr>
      </w:pPr>
      <w:r>
        <w:rPr>
          <w:rFonts w:hint="eastAsia"/>
          <w:color w:val="auto"/>
          <w:sz w:val="24"/>
        </w:rPr>
        <w:t>3、该表可扩展</w:t>
      </w:r>
      <w:r>
        <w:rPr>
          <w:rFonts w:hint="eastAsia"/>
          <w:color w:val="auto"/>
          <w:sz w:val="24"/>
          <w:szCs w:val="28"/>
        </w:rPr>
        <w:t>，并逐页签字或盖章</w:t>
      </w:r>
      <w:r>
        <w:rPr>
          <w:rFonts w:hint="eastAsia"/>
          <w:color w:val="auto"/>
          <w:sz w:val="24"/>
        </w:rPr>
        <w:t>；</w:t>
      </w:r>
    </w:p>
    <w:p>
      <w:pPr>
        <w:tabs>
          <w:tab w:val="left" w:pos="6300"/>
        </w:tabs>
        <w:snapToGrid w:val="0"/>
        <w:spacing w:line="500" w:lineRule="exact"/>
        <w:ind w:firstLine="480" w:firstLineChars="200"/>
        <w:rPr>
          <w:color w:val="auto"/>
          <w:sz w:val="24"/>
          <w:szCs w:val="22"/>
        </w:rPr>
        <w:sectPr>
          <w:headerReference r:id="rId11" w:type="default"/>
          <w:footerReference r:id="rId12" w:type="default"/>
          <w:pgSz w:w="11907" w:h="16840"/>
          <w:pgMar w:top="1134" w:right="1191" w:bottom="1134" w:left="1304" w:header="851" w:footer="992" w:gutter="0"/>
          <w:cols w:space="720" w:num="1"/>
          <w:docGrid w:linePitch="380" w:charSpace="-5735"/>
        </w:sectPr>
      </w:pPr>
      <w:r>
        <w:rPr>
          <w:rFonts w:hint="eastAsia"/>
          <w:color w:val="auto"/>
          <w:sz w:val="24"/>
          <w:szCs w:val="22"/>
        </w:rPr>
        <w:t>4、负相关支撑证明材料；</w:t>
      </w:r>
    </w:p>
    <w:p>
      <w:pPr>
        <w:snapToGrid w:val="0"/>
        <w:spacing w:line="500" w:lineRule="exact"/>
        <w:ind w:firstLine="480"/>
        <w:rPr>
          <w:rFonts w:hint="eastAsia" w:ascii="宋体" w:hAnsi="宋体" w:cs="宋体"/>
          <w:color w:val="auto"/>
          <w:sz w:val="24"/>
        </w:rPr>
      </w:pPr>
      <w:r>
        <w:rPr>
          <w:rFonts w:hint="eastAsia" w:ascii="宋体" w:hAnsi="宋体" w:cs="宋体"/>
          <w:color w:val="auto"/>
          <w:sz w:val="24"/>
          <w:szCs w:val="22"/>
        </w:rPr>
        <w:t>（二）其它资料</w:t>
      </w:r>
    </w:p>
    <w:p>
      <w:pPr>
        <w:pageBreakBefore/>
        <w:snapToGrid w:val="0"/>
        <w:spacing w:line="360" w:lineRule="auto"/>
        <w:rPr>
          <w:rFonts w:hint="eastAsia" w:ascii="宋体" w:hAnsi="宋体" w:cs="宋体"/>
          <w:color w:val="auto"/>
        </w:rPr>
      </w:pPr>
      <w:r>
        <w:rPr>
          <w:rFonts w:hint="eastAsia" w:ascii="宋体" w:hAnsi="宋体" w:cs="宋体"/>
          <w:color w:val="auto"/>
        </w:rPr>
        <w:t>三、商务文件</w:t>
      </w:r>
    </w:p>
    <w:p>
      <w:pPr>
        <w:snapToGrid w:val="0"/>
        <w:spacing w:before="120" w:line="500" w:lineRule="exact"/>
        <w:jc w:val="center"/>
        <w:rPr>
          <w:rFonts w:hint="eastAsia" w:ascii="宋体" w:hAnsi="宋体" w:cs="宋体"/>
          <w:color w:val="auto"/>
        </w:rPr>
      </w:pPr>
      <w:r>
        <w:rPr>
          <w:rFonts w:hint="eastAsia" w:ascii="宋体" w:hAnsi="宋体" w:cs="宋体"/>
          <w:color w:val="auto"/>
        </w:rPr>
        <w:t>（一）报价函（格式）</w:t>
      </w:r>
    </w:p>
    <w:p>
      <w:pPr>
        <w:snapToGrid w:val="0"/>
        <w:spacing w:line="500" w:lineRule="exact"/>
        <w:rPr>
          <w:rFonts w:hint="eastAsia" w:ascii="宋体" w:hAnsi="宋体" w:cs="宋体"/>
          <w:color w:val="auto"/>
          <w:sz w:val="24"/>
        </w:rPr>
      </w:pPr>
    </w:p>
    <w:p>
      <w:pPr>
        <w:snapToGrid w:val="0"/>
        <w:spacing w:line="500" w:lineRule="exact"/>
        <w:ind w:firstLine="480"/>
        <w:rPr>
          <w:rFonts w:hint="eastAsia" w:ascii="宋体" w:hAnsi="宋体" w:cs="宋体"/>
          <w:color w:val="auto"/>
          <w:sz w:val="24"/>
          <w:u w:val="single"/>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pPr>
        <w:snapToGrid w:val="0"/>
        <w:spacing w:line="500" w:lineRule="exact"/>
        <w:rPr>
          <w:rFonts w:hint="eastAsia" w:ascii="宋体" w:hAnsi="宋体" w:cs="宋体"/>
          <w:color w:val="auto"/>
          <w:sz w:val="24"/>
        </w:rPr>
      </w:pPr>
    </w:p>
    <w:p>
      <w:pPr>
        <w:tabs>
          <w:tab w:val="left" w:pos="6300"/>
        </w:tabs>
        <w:snapToGrid w:val="0"/>
        <w:spacing w:line="500" w:lineRule="exact"/>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（采购人名称）：</w:t>
      </w:r>
    </w:p>
    <w:p>
      <w:pPr>
        <w:snapToGrid w:val="0"/>
        <w:spacing w:before="120" w:line="500" w:lineRule="exact"/>
        <w:ind w:firstLine="48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（供应商名称）系中华人民共和国合法企业，注册地址：</w:t>
      </w:r>
      <w:r>
        <w:rPr>
          <w:rFonts w:hint="eastAsia" w:ascii="宋体" w:hAnsi="宋体" w:cs="宋体"/>
          <w:color w:val="auto"/>
          <w:sz w:val="24"/>
          <w:u w:val="single"/>
        </w:rPr>
        <w:t xml:space="preserve">                               </w:t>
      </w:r>
      <w:r>
        <w:rPr>
          <w:rFonts w:hint="eastAsia" w:ascii="宋体" w:hAnsi="宋体" w:cs="宋体"/>
          <w:color w:val="auto"/>
          <w:sz w:val="24"/>
        </w:rPr>
        <w:t>。我方就参加本次询价有关事项郑重声明如下：</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一、我方完全理解并接受该项目询价文件所有要求。</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二、我方提交的所有响应文件、资料都是准确和真实的，如有虚假或隐瞒，我方愿意承担一切法律责任。</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三、我方承诺按照询价文件要求，提供采购项目的技术服务。</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四、我方按询价文件要求提交的响应文件为：响应文件正本1份，副本2份</w:t>
      </w:r>
      <w:r>
        <w:rPr>
          <w:rFonts w:hint="eastAsia" w:ascii="宋体" w:hAnsi="宋体" w:cs="宋体"/>
          <w:color w:val="auto"/>
          <w:sz w:val="24"/>
          <w:lang w:eastAsia="zh-CN"/>
        </w:rPr>
        <w:t>，</w:t>
      </w:r>
      <w:r>
        <w:rPr>
          <w:rFonts w:hint="eastAsia" w:ascii="宋体" w:hAnsi="宋体" w:cs="宋体"/>
          <w:color w:val="auto"/>
          <w:sz w:val="24"/>
          <w:lang w:val="en-US" w:eastAsia="zh-CN"/>
        </w:rPr>
        <w:t>电子文档 1 份</w:t>
      </w:r>
      <w:r>
        <w:rPr>
          <w:rFonts w:hint="eastAsia" w:ascii="宋体" w:hAnsi="宋体" w:cs="宋体"/>
          <w:color w:val="auto"/>
          <w:sz w:val="24"/>
        </w:rPr>
        <w:t>。</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五、我方承诺：本次询价的询价有效期为90天。</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六、我方响应报价为闭口价。即在询价有效期和合同有效期内，该报价固定不变。</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七、如果我方成交，我方将履行询价文件中规定的各项要求以及我方响应文件的各项承诺，按《政府采购法》、《合同法》及合同约定条款承担我方责任。</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八、我方未为采购项目提供整体设计、规范编制或者项目管理、监理、检测等服务。</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九、我方理解，最低报价不是成交的唯一条件。</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十、我方同意按有关规定及询价文件要求，缴纳足额询价保证金。</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十一、若我方成交，愿意按有关规定及询价文件要求缴纳采购代理服务费。</w:t>
      </w: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5460"/>
        <w:rPr>
          <w:rFonts w:hint="eastAsia" w:ascii="宋体" w:hAnsi="宋体" w:cs="宋体"/>
          <w:color w:val="auto"/>
          <w:sz w:val="24"/>
        </w:rPr>
      </w:pPr>
      <w:r>
        <w:rPr>
          <w:rFonts w:hint="eastAsia" w:ascii="宋体" w:hAnsi="宋体" w:cs="宋体"/>
          <w:color w:val="auto"/>
          <w:sz w:val="24"/>
        </w:rPr>
        <w:t>（供应商公章）</w:t>
      </w: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5760"/>
        <w:rPr>
          <w:rFonts w:hint="eastAsia" w:ascii="宋体" w:hAnsi="宋体" w:cs="宋体"/>
          <w:color w:val="auto"/>
        </w:rPr>
      </w:pPr>
      <w:r>
        <w:rPr>
          <w:rFonts w:hint="eastAsia" w:ascii="宋体" w:hAnsi="宋体" w:cs="宋体"/>
          <w:color w:val="auto"/>
          <w:sz w:val="24"/>
        </w:rPr>
        <w:t>年    月   日</w:t>
      </w:r>
    </w:p>
    <w:p>
      <w:pPr>
        <w:tabs>
          <w:tab w:val="left" w:pos="6300"/>
        </w:tabs>
        <w:snapToGrid w:val="0"/>
        <w:spacing w:line="500" w:lineRule="exact"/>
        <w:ind w:firstLine="560"/>
        <w:jc w:val="center"/>
        <w:rPr>
          <w:rFonts w:hint="eastAsia" w:ascii="宋体" w:hAnsi="宋体" w:cs="宋体"/>
          <w:color w:val="auto"/>
        </w:rPr>
      </w:pPr>
      <w:r>
        <w:rPr>
          <w:rFonts w:hint="eastAsia" w:ascii="宋体" w:hAnsi="宋体" w:cs="宋体"/>
          <w:color w:val="auto"/>
        </w:rPr>
        <w:br w:type="page"/>
      </w:r>
      <w:r>
        <w:rPr>
          <w:rFonts w:hint="eastAsia" w:ascii="宋体" w:hAnsi="宋体" w:cs="宋体"/>
          <w:color w:val="auto"/>
        </w:rPr>
        <w:t>（二）商务条款差异表</w:t>
      </w:r>
    </w:p>
    <w:p>
      <w:pPr>
        <w:tabs>
          <w:tab w:val="left" w:pos="6300"/>
        </w:tabs>
        <w:snapToGrid w:val="0"/>
        <w:spacing w:line="500" w:lineRule="exact"/>
        <w:ind w:firstLine="890" w:firstLineChars="371"/>
        <w:rPr>
          <w:rFonts w:hint="eastAsia" w:ascii="宋体" w:hAnsi="宋体" w:cs="宋体"/>
          <w:color w:val="auto"/>
          <w:sz w:val="24"/>
        </w:rPr>
      </w:pPr>
      <w:r>
        <w:rPr>
          <w:rFonts w:hint="eastAsia" w:ascii="宋体" w:hAnsi="宋体" w:cs="宋体"/>
          <w:color w:val="auto"/>
          <w:sz w:val="24"/>
        </w:rPr>
        <w:t>项目名称：</w:t>
      </w:r>
    </w:p>
    <w:tbl>
      <w:tblPr>
        <w:tblStyle w:val="68"/>
        <w:tblW w:w="0" w:type="auto"/>
        <w:jc w:val="center"/>
        <w:tblLayout w:type="fixed"/>
        <w:tblCellMar>
          <w:top w:w="0" w:type="dxa"/>
          <w:left w:w="0" w:type="dxa"/>
          <w:bottom w:w="0" w:type="dxa"/>
          <w:right w:w="0" w:type="dxa"/>
        </w:tblCellMar>
      </w:tblPr>
      <w:tblGrid>
        <w:gridCol w:w="1039"/>
        <w:gridCol w:w="2428"/>
        <w:gridCol w:w="2520"/>
        <w:gridCol w:w="1888"/>
      </w:tblGrid>
      <w:tr>
        <w:tblPrEx>
          <w:tblCellMar>
            <w:top w:w="0" w:type="dxa"/>
            <w:left w:w="0" w:type="dxa"/>
            <w:bottom w:w="0" w:type="dxa"/>
            <w:right w:w="0" w:type="dxa"/>
          </w:tblCellMar>
        </w:tblPrEx>
        <w:trPr>
          <w:wBefore w:w="0" w:type="dxa"/>
          <w:trHeight w:val="516" w:hRule="atLeast"/>
          <w:jc w:val="center"/>
        </w:trPr>
        <w:tc>
          <w:tcPr>
            <w:tcW w:w="10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r>
              <w:rPr>
                <w:rFonts w:hint="eastAsia" w:ascii="宋体" w:hAnsi="宋体" w:cs="宋体"/>
                <w:color w:val="auto"/>
                <w:sz w:val="21"/>
              </w:rPr>
              <w:t>序号</w:t>
            </w:r>
          </w:p>
        </w:tc>
        <w:tc>
          <w:tcPr>
            <w:tcW w:w="2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r>
              <w:rPr>
                <w:rFonts w:hint="eastAsia" w:ascii="宋体" w:hAnsi="宋体" w:cs="宋体"/>
                <w:color w:val="auto"/>
                <w:sz w:val="21"/>
              </w:rPr>
              <w:t>采购商务要求</w:t>
            </w: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r>
              <w:rPr>
                <w:rFonts w:hint="eastAsia" w:ascii="宋体" w:hAnsi="宋体" w:cs="宋体"/>
                <w:color w:val="auto"/>
                <w:sz w:val="21"/>
              </w:rPr>
              <w:t>供应商商务应答</w:t>
            </w:r>
          </w:p>
        </w:tc>
        <w:tc>
          <w:tcPr>
            <w:tcW w:w="18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r>
              <w:rPr>
                <w:rFonts w:hint="eastAsia" w:ascii="宋体" w:hAnsi="宋体" w:cs="宋体"/>
                <w:color w:val="auto"/>
                <w:sz w:val="21"/>
              </w:rPr>
              <w:t>差异说明</w:t>
            </w:r>
          </w:p>
        </w:tc>
      </w:tr>
      <w:tr>
        <w:tblPrEx>
          <w:tblCellMar>
            <w:top w:w="0" w:type="dxa"/>
            <w:left w:w="0" w:type="dxa"/>
            <w:bottom w:w="0" w:type="dxa"/>
            <w:right w:w="0" w:type="dxa"/>
          </w:tblCellMar>
        </w:tblPrEx>
        <w:trPr>
          <w:wBefore w:w="0" w:type="dxa"/>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c>
          <w:tcPr>
            <w:tcW w:w="2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c>
          <w:tcPr>
            <w:tcW w:w="18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r>
      <w:tr>
        <w:tblPrEx>
          <w:tblCellMar>
            <w:top w:w="0" w:type="dxa"/>
            <w:left w:w="0" w:type="dxa"/>
            <w:bottom w:w="0" w:type="dxa"/>
            <w:right w:w="0" w:type="dxa"/>
          </w:tblCellMar>
        </w:tblPrEx>
        <w:trPr>
          <w:wBefore w:w="0" w:type="dxa"/>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c>
          <w:tcPr>
            <w:tcW w:w="2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c>
          <w:tcPr>
            <w:tcW w:w="18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r>
      <w:tr>
        <w:tblPrEx>
          <w:tblCellMar>
            <w:top w:w="0" w:type="dxa"/>
            <w:left w:w="0" w:type="dxa"/>
            <w:bottom w:w="0" w:type="dxa"/>
            <w:right w:w="0" w:type="dxa"/>
          </w:tblCellMar>
        </w:tblPrEx>
        <w:trPr>
          <w:wBefore w:w="0" w:type="dxa"/>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c>
          <w:tcPr>
            <w:tcW w:w="2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uto"/>
              <w:jc w:val="center"/>
              <w:rPr>
                <w:rFonts w:hint="eastAsia" w:ascii="宋体" w:hAnsi="宋体" w:cs="宋体"/>
                <w:color w:val="auto"/>
                <w:sz w:val="21"/>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c>
          <w:tcPr>
            <w:tcW w:w="18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r>
      <w:tr>
        <w:tblPrEx>
          <w:tblCellMar>
            <w:top w:w="0" w:type="dxa"/>
            <w:left w:w="0" w:type="dxa"/>
            <w:bottom w:w="0" w:type="dxa"/>
            <w:right w:w="0" w:type="dxa"/>
          </w:tblCellMar>
        </w:tblPrEx>
        <w:trPr>
          <w:wBefore w:w="0" w:type="dxa"/>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c>
          <w:tcPr>
            <w:tcW w:w="2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uto"/>
              <w:jc w:val="center"/>
              <w:rPr>
                <w:rFonts w:hint="eastAsia" w:ascii="宋体" w:hAnsi="宋体" w:cs="宋体"/>
                <w:color w:val="auto"/>
                <w:sz w:val="21"/>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c>
          <w:tcPr>
            <w:tcW w:w="18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r>
      <w:tr>
        <w:tblPrEx>
          <w:tblCellMar>
            <w:top w:w="0" w:type="dxa"/>
            <w:left w:w="0" w:type="dxa"/>
            <w:bottom w:w="0" w:type="dxa"/>
            <w:right w:w="0" w:type="dxa"/>
          </w:tblCellMar>
        </w:tblPrEx>
        <w:trPr>
          <w:wBefore w:w="0" w:type="dxa"/>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c>
          <w:tcPr>
            <w:tcW w:w="2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uto"/>
              <w:jc w:val="center"/>
              <w:rPr>
                <w:rFonts w:hint="eastAsia" w:ascii="宋体" w:hAnsi="宋体" w:cs="宋体"/>
                <w:color w:val="auto"/>
                <w:sz w:val="21"/>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c>
          <w:tcPr>
            <w:tcW w:w="18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r>
      <w:tr>
        <w:tblPrEx>
          <w:tblCellMar>
            <w:top w:w="0" w:type="dxa"/>
            <w:left w:w="0" w:type="dxa"/>
            <w:bottom w:w="0" w:type="dxa"/>
            <w:right w:w="0" w:type="dxa"/>
          </w:tblCellMar>
        </w:tblPrEx>
        <w:trPr>
          <w:wBefore w:w="0" w:type="dxa"/>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c>
          <w:tcPr>
            <w:tcW w:w="2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uto"/>
              <w:jc w:val="center"/>
              <w:rPr>
                <w:rFonts w:hint="eastAsia" w:ascii="宋体" w:hAnsi="宋体" w:cs="宋体"/>
                <w:color w:val="auto"/>
                <w:sz w:val="21"/>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c>
          <w:tcPr>
            <w:tcW w:w="18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6300"/>
              </w:tabs>
              <w:snapToGrid w:val="0"/>
              <w:spacing w:line="500" w:lineRule="exact"/>
              <w:jc w:val="center"/>
              <w:rPr>
                <w:rFonts w:hint="eastAsia" w:ascii="宋体" w:hAnsi="宋体" w:cs="宋体"/>
                <w:color w:val="auto"/>
                <w:sz w:val="21"/>
              </w:rPr>
            </w:pPr>
          </w:p>
        </w:tc>
      </w:tr>
    </w:tbl>
    <w:p>
      <w:pPr>
        <w:snapToGrid w:val="0"/>
        <w:spacing w:line="500" w:lineRule="exact"/>
        <w:rPr>
          <w:rFonts w:hint="eastAsia" w:ascii="宋体" w:hAnsi="宋体" w:cs="宋体"/>
          <w:color w:val="auto"/>
          <w:sz w:val="24"/>
        </w:rPr>
      </w:pPr>
    </w:p>
    <w:p>
      <w:pPr>
        <w:snapToGrid w:val="0"/>
        <w:spacing w:line="500" w:lineRule="exact"/>
        <w:ind w:firstLine="600"/>
        <w:rPr>
          <w:rFonts w:hint="eastAsia" w:ascii="宋体" w:hAnsi="宋体" w:cs="宋体"/>
          <w:color w:val="auto"/>
          <w:sz w:val="24"/>
        </w:rPr>
      </w:pPr>
      <w:r>
        <w:rPr>
          <w:rFonts w:hint="eastAsia" w:ascii="宋体" w:hAnsi="宋体" w:cs="宋体"/>
          <w:color w:val="auto"/>
          <w:sz w:val="24"/>
        </w:rPr>
        <w:t>供应商：                            法定代表人或法定代表人授权代表：</w:t>
      </w:r>
    </w:p>
    <w:p>
      <w:pPr>
        <w:snapToGrid w:val="0"/>
        <w:spacing w:line="500" w:lineRule="exact"/>
        <w:rPr>
          <w:rFonts w:hint="eastAsia" w:ascii="宋体" w:hAnsi="宋体" w:cs="宋体"/>
          <w:color w:val="auto"/>
          <w:sz w:val="24"/>
        </w:rPr>
      </w:pPr>
    </w:p>
    <w:p>
      <w:pPr>
        <w:snapToGrid w:val="0"/>
        <w:spacing w:line="500" w:lineRule="exact"/>
        <w:rPr>
          <w:rFonts w:hint="eastAsia" w:ascii="宋体" w:hAnsi="宋体" w:cs="宋体"/>
          <w:color w:val="auto"/>
          <w:sz w:val="24"/>
        </w:rPr>
      </w:pPr>
      <w:r>
        <w:rPr>
          <w:rFonts w:hint="eastAsia" w:ascii="宋体" w:hAnsi="宋体" w:cs="宋体"/>
          <w:color w:val="auto"/>
          <w:sz w:val="24"/>
        </w:rPr>
        <w:t xml:space="preserve">    （供应商公章）                               （签字或盖章）</w:t>
      </w: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年     月     日</w:t>
      </w: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注：</w:t>
      </w: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1.本表即为对本项目“第三篇 询价采购项目商务要求”中所列商务条款进行比较和响应；</w:t>
      </w: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2.该表必须按照询价文件要求逐条如实填写，根据响应情况在“差异说明”项填写正偏离或负偏离及原因，完全符合的填写“无差异”。如商务要求有一条不满足的，为无效响应。</w:t>
      </w: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3.该表可扩展。</w:t>
      </w:r>
    </w:p>
    <w:p>
      <w:pPr>
        <w:tabs>
          <w:tab w:val="left" w:pos="6300"/>
        </w:tabs>
        <w:snapToGrid w:val="0"/>
        <w:spacing w:line="500" w:lineRule="exact"/>
        <w:ind w:firstLine="570"/>
        <w:rPr>
          <w:rFonts w:hint="eastAsia" w:ascii="宋体" w:hAnsi="宋体" w:cs="宋体"/>
          <w:b/>
          <w:color w:val="auto"/>
        </w:rPr>
      </w:pPr>
      <w:r>
        <w:rPr>
          <w:rFonts w:hint="eastAsia" w:ascii="宋体" w:hAnsi="宋体" w:cs="宋体"/>
          <w:color w:val="auto"/>
          <w:sz w:val="24"/>
          <w:szCs w:val="22"/>
        </w:rPr>
        <w:br w:type="page"/>
      </w:r>
      <w:r>
        <w:rPr>
          <w:rFonts w:hint="eastAsia" w:ascii="宋体" w:hAnsi="宋体" w:cs="宋体"/>
          <w:color w:val="auto"/>
        </w:rPr>
        <w:t>（三）其他</w:t>
      </w:r>
      <w:r>
        <w:rPr>
          <w:rFonts w:hint="eastAsia" w:ascii="宋体" w:hAnsi="宋体" w:cs="宋体"/>
          <w:color w:val="auto"/>
        </w:rPr>
        <w:br w:type="page"/>
      </w:r>
      <w:r>
        <w:rPr>
          <w:rFonts w:hint="eastAsia" w:ascii="宋体" w:hAnsi="宋体" w:cs="宋体"/>
          <w:b/>
          <w:bCs/>
          <w:color w:val="auto"/>
        </w:rPr>
        <w:t>四、资格文件</w:t>
      </w:r>
    </w:p>
    <w:p>
      <w:pPr>
        <w:tabs>
          <w:tab w:val="left" w:pos="6300"/>
        </w:tabs>
        <w:snapToGrid w:val="0"/>
        <w:spacing w:line="500" w:lineRule="exact"/>
        <w:ind w:firstLine="570"/>
        <w:jc w:val="center"/>
        <w:rPr>
          <w:rFonts w:hint="eastAsia" w:ascii="宋体" w:hAnsi="宋体" w:cs="宋体"/>
          <w:color w:val="auto"/>
        </w:rPr>
      </w:pPr>
      <w:r>
        <w:rPr>
          <w:rFonts w:hint="eastAsia" w:ascii="宋体" w:hAnsi="宋体" w:cs="宋体"/>
          <w:color w:val="auto"/>
        </w:rPr>
        <w:t>（一）</w:t>
      </w:r>
      <w:r>
        <w:rPr>
          <w:rFonts w:hint="eastAsia" w:ascii="宋体" w:hAnsi="宋体" w:cs="宋体"/>
          <w:color w:val="auto"/>
          <w:sz w:val="24"/>
          <w:szCs w:val="24"/>
        </w:rPr>
        <w:t>营业执照（副本）或事业单位法人证书（副本）或个体工商户营业执照或有效的自然人身份证明或社会团体法人登记证书复印件</w:t>
      </w:r>
      <w:r>
        <w:rPr>
          <w:rFonts w:hint="eastAsia" w:ascii="宋体" w:hAnsi="宋体" w:cs="宋体"/>
          <w:color w:val="auto"/>
        </w:rPr>
        <w:br w:type="page"/>
      </w:r>
      <w:r>
        <w:rPr>
          <w:rFonts w:hint="eastAsia" w:ascii="宋体" w:hAnsi="宋体" w:cs="宋体"/>
          <w:color w:val="auto"/>
          <w:sz w:val="24"/>
          <w:szCs w:val="24"/>
        </w:rPr>
        <w:t>（</w:t>
      </w:r>
      <w:r>
        <w:rPr>
          <w:rFonts w:hint="eastAsia" w:ascii="宋体" w:hAnsi="宋体" w:cs="宋体"/>
          <w:color w:val="auto"/>
          <w:sz w:val="24"/>
          <w:szCs w:val="24"/>
          <w:lang w:val="en-US" w:eastAsia="zh-CN"/>
        </w:rPr>
        <w:t>二</w:t>
      </w:r>
      <w:r>
        <w:rPr>
          <w:rFonts w:hint="eastAsia" w:ascii="宋体" w:hAnsi="宋体" w:cs="宋体"/>
          <w:color w:val="auto"/>
          <w:sz w:val="24"/>
          <w:szCs w:val="24"/>
        </w:rPr>
        <w:t>）法定代表人身份证明书（格式）</w:t>
      </w: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（采购人名称）：</w:t>
      </w: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（职务名称）职务，是（供应商名称）</w:t>
      </w:r>
      <w:r>
        <w:rPr>
          <w:rFonts w:hint="eastAsia" w:ascii="宋体" w:hAnsi="宋体" w:cs="宋体"/>
          <w:color w:val="auto"/>
          <w:sz w:val="24"/>
          <w:u w:val="single"/>
        </w:rPr>
        <w:t xml:space="preserve">              </w:t>
      </w:r>
      <w:r>
        <w:rPr>
          <w:rFonts w:hint="eastAsia" w:ascii="宋体" w:hAnsi="宋体" w:cs="宋体"/>
          <w:color w:val="auto"/>
          <w:sz w:val="24"/>
        </w:rPr>
        <w:t>的法定代表人。</w:t>
      </w: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特此证明。</w:t>
      </w: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（供应商公章）</w:t>
      </w: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年   月   日</w:t>
      </w:r>
    </w:p>
    <w:p>
      <w:pPr>
        <w:tabs>
          <w:tab w:val="left" w:pos="6300"/>
        </w:tabs>
        <w:snapToGrid w:val="0"/>
        <w:spacing w:line="500" w:lineRule="exact"/>
        <w:ind w:firstLine="570"/>
        <w:jc w:val="left"/>
        <w:rPr>
          <w:rFonts w:hint="eastAsia" w:ascii="宋体" w:hAnsi="宋体" w:cs="宋体"/>
          <w:color w:val="auto"/>
          <w:sz w:val="24"/>
        </w:rPr>
      </w:pPr>
    </w:p>
    <w:p>
      <w:pPr>
        <w:tabs>
          <w:tab w:val="left" w:pos="6300"/>
        </w:tabs>
        <w:snapToGrid w:val="0"/>
        <w:spacing w:line="500" w:lineRule="exact"/>
        <w:ind w:firstLine="570"/>
        <w:jc w:val="center"/>
        <w:rPr>
          <w:rFonts w:hint="eastAsia" w:ascii="宋体" w:hAnsi="宋体" w:cs="宋体"/>
          <w:color w:val="auto"/>
        </w:rPr>
      </w:pPr>
      <w:r>
        <w:rPr>
          <w:rFonts w:hint="eastAsia" w:ascii="宋体" w:hAnsi="宋体" w:cs="宋体"/>
          <w:color w:val="auto"/>
          <w:sz w:val="24"/>
        </w:rPr>
        <w:t>（附：法定代表人身份证正反面复印件）</w:t>
      </w:r>
      <w:r>
        <w:rPr>
          <w:rFonts w:hint="eastAsia" w:ascii="宋体" w:hAnsi="宋体" w:cs="宋体"/>
          <w:color w:val="auto"/>
        </w:rPr>
        <w:br w:type="column"/>
      </w:r>
      <w:r>
        <w:rPr>
          <w:rFonts w:hint="eastAsia" w:ascii="宋体" w:hAnsi="宋体" w:cs="宋体"/>
          <w:color w:val="auto"/>
          <w:sz w:val="24"/>
          <w:szCs w:val="24"/>
        </w:rPr>
        <w:t>（</w:t>
      </w:r>
      <w:r>
        <w:rPr>
          <w:rFonts w:hint="eastAsia" w:ascii="宋体" w:hAnsi="宋体" w:cs="宋体"/>
          <w:color w:val="auto"/>
          <w:sz w:val="24"/>
          <w:szCs w:val="24"/>
          <w:lang w:val="en-US" w:eastAsia="zh-CN"/>
        </w:rPr>
        <w:t>三</w:t>
      </w:r>
      <w:r>
        <w:rPr>
          <w:rFonts w:hint="eastAsia" w:ascii="宋体" w:hAnsi="宋体" w:cs="宋体"/>
          <w:color w:val="auto"/>
          <w:sz w:val="24"/>
          <w:szCs w:val="24"/>
        </w:rPr>
        <w:t>）法定代表人授权委托书（格式）</w:t>
      </w: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（采购人名称）：</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（被授权人姓名及身份证代码）代表我单位全权办理上述项目的响应、询价、签约等具体工作，并签署全部有关文件、协议及合同。</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我单位对被授权人的签字负全部责任。</w:t>
      </w:r>
    </w:p>
    <w:p>
      <w:pPr>
        <w:tabs>
          <w:tab w:val="left" w:pos="6300"/>
        </w:tabs>
        <w:snapToGrid w:val="0"/>
        <w:spacing w:line="500" w:lineRule="exact"/>
        <w:ind w:firstLine="480"/>
        <w:rPr>
          <w:rFonts w:hint="eastAsia" w:ascii="宋体" w:hAnsi="宋体" w:cs="宋体"/>
          <w:color w:val="auto"/>
          <w:sz w:val="24"/>
        </w:rPr>
      </w:pPr>
      <w:r>
        <w:rPr>
          <w:rFonts w:hint="eastAsia" w:ascii="宋体" w:hAnsi="宋体" w:cs="宋体"/>
          <w:color w:val="auto"/>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被授权人：                                 供应商法定代表人：</w:t>
      </w: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（签字或盖章）                                （签字或盖章）</w:t>
      </w: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（附：被授权人身份证正反面复印件）</w:t>
      </w:r>
    </w:p>
    <w:p>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w:t>
      </w: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firstLine="570"/>
        <w:rPr>
          <w:rFonts w:hint="eastAsia" w:ascii="宋体" w:hAnsi="宋体" w:cs="宋体"/>
          <w:color w:val="auto"/>
          <w:sz w:val="24"/>
        </w:rPr>
      </w:pPr>
    </w:p>
    <w:p>
      <w:pPr>
        <w:tabs>
          <w:tab w:val="left" w:pos="6300"/>
        </w:tabs>
        <w:snapToGrid w:val="0"/>
        <w:spacing w:line="500" w:lineRule="exact"/>
        <w:ind w:right="480" w:firstLine="570"/>
        <w:jc w:val="right"/>
        <w:rPr>
          <w:rFonts w:hint="eastAsia" w:ascii="宋体" w:hAnsi="宋体" w:cs="宋体"/>
          <w:color w:val="auto"/>
          <w:sz w:val="24"/>
        </w:rPr>
      </w:pPr>
      <w:r>
        <w:rPr>
          <w:rFonts w:hint="eastAsia" w:ascii="宋体" w:hAnsi="宋体" w:cs="宋体"/>
          <w:color w:val="auto"/>
          <w:sz w:val="24"/>
        </w:rPr>
        <w:t>（供应商公章）</w:t>
      </w:r>
    </w:p>
    <w:p>
      <w:pPr>
        <w:tabs>
          <w:tab w:val="left" w:pos="6300"/>
        </w:tabs>
        <w:snapToGrid w:val="0"/>
        <w:spacing w:line="500" w:lineRule="exact"/>
        <w:ind w:right="480" w:firstLine="570"/>
        <w:jc w:val="right"/>
        <w:rPr>
          <w:rFonts w:hint="eastAsia" w:ascii="宋体" w:hAnsi="宋体" w:cs="宋体"/>
          <w:color w:val="auto"/>
          <w:sz w:val="24"/>
        </w:rPr>
      </w:pPr>
      <w:r>
        <w:rPr>
          <w:rFonts w:hint="eastAsia" w:ascii="宋体" w:hAnsi="宋体" w:cs="宋体"/>
          <w:color w:val="auto"/>
          <w:sz w:val="24"/>
        </w:rPr>
        <w:t>年   月   日</w:t>
      </w:r>
    </w:p>
    <w:p>
      <w:pPr>
        <w:tabs>
          <w:tab w:val="left" w:pos="6300"/>
        </w:tabs>
        <w:snapToGrid w:val="0"/>
        <w:spacing w:line="500" w:lineRule="exact"/>
        <w:ind w:right="480" w:firstLine="570"/>
        <w:jc w:val="right"/>
        <w:rPr>
          <w:rFonts w:hint="eastAsia" w:ascii="宋体" w:hAnsi="宋体" w:cs="宋体"/>
          <w:color w:val="auto"/>
          <w:sz w:val="24"/>
        </w:rPr>
      </w:pPr>
    </w:p>
    <w:p>
      <w:pPr>
        <w:tabs>
          <w:tab w:val="left" w:pos="6300"/>
        </w:tabs>
        <w:snapToGrid w:val="0"/>
        <w:spacing w:line="500" w:lineRule="exact"/>
        <w:ind w:right="480" w:firstLine="570"/>
        <w:jc w:val="left"/>
        <w:rPr>
          <w:rFonts w:hint="eastAsia" w:ascii="宋体" w:hAnsi="宋体" w:cs="宋体"/>
          <w:color w:val="auto"/>
          <w:sz w:val="24"/>
        </w:rPr>
      </w:pPr>
      <w:r>
        <w:rPr>
          <w:rFonts w:hint="eastAsia" w:ascii="宋体" w:hAnsi="宋体" w:cs="宋体"/>
          <w:color w:val="auto"/>
          <w:sz w:val="24"/>
        </w:rPr>
        <w:t>注：</w:t>
      </w:r>
    </w:p>
    <w:p>
      <w:pPr>
        <w:tabs>
          <w:tab w:val="left" w:pos="6300"/>
        </w:tabs>
        <w:snapToGrid w:val="0"/>
        <w:spacing w:line="500" w:lineRule="exact"/>
        <w:ind w:right="480" w:firstLine="570"/>
        <w:jc w:val="left"/>
        <w:rPr>
          <w:rFonts w:hint="eastAsia" w:ascii="宋体" w:hAnsi="宋体" w:cs="宋体"/>
          <w:color w:val="auto"/>
          <w:sz w:val="24"/>
        </w:rPr>
      </w:pPr>
      <w:r>
        <w:rPr>
          <w:rFonts w:hint="eastAsia" w:ascii="宋体" w:hAnsi="宋体" w:cs="宋体"/>
          <w:color w:val="auto"/>
          <w:sz w:val="24"/>
        </w:rPr>
        <w:t>1.若为法定代表人办理并签署响应文件的，不提供此文件。</w:t>
      </w:r>
    </w:p>
    <w:p>
      <w:pPr>
        <w:tabs>
          <w:tab w:val="left" w:pos="6300"/>
        </w:tabs>
        <w:snapToGrid w:val="0"/>
        <w:spacing w:line="500" w:lineRule="exact"/>
        <w:ind w:firstLine="3220" w:firstLineChars="1150"/>
        <w:rPr>
          <w:rFonts w:hint="eastAsia" w:ascii="宋体" w:hAnsi="宋体" w:eastAsia="宋体" w:cs="宋体"/>
          <w:color w:val="auto"/>
          <w:sz w:val="24"/>
          <w:szCs w:val="24"/>
        </w:rPr>
      </w:pPr>
      <w:r>
        <w:rPr>
          <w:rFonts w:hint="eastAsia" w:ascii="宋体" w:hAnsi="宋体" w:cs="宋体"/>
          <w:color w:val="auto"/>
        </w:rPr>
        <w:br w:type="column"/>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基本资格条件承诺函（</w:t>
      </w:r>
      <w:r>
        <w:rPr>
          <w:rFonts w:hint="eastAsia" w:ascii="宋体" w:hAnsi="宋体" w:eastAsia="宋体" w:cs="宋体"/>
          <w:color w:val="auto"/>
          <w:sz w:val="24"/>
          <w:szCs w:val="24"/>
          <w:lang w:val="en-US" w:eastAsia="zh-CN"/>
        </w:rPr>
        <w:t>格式</w:t>
      </w:r>
      <w:r>
        <w:rPr>
          <w:rFonts w:hint="eastAsia" w:ascii="宋体" w:hAnsi="宋体" w:eastAsia="宋体" w:cs="宋体"/>
          <w:color w:val="auto"/>
          <w:sz w:val="24"/>
          <w:szCs w:val="24"/>
          <w:lang w:eastAsia="zh-CN"/>
        </w:rPr>
        <w:t>）</w:t>
      </w:r>
    </w:p>
    <w:p>
      <w:pPr>
        <w:tabs>
          <w:tab w:val="left" w:pos="6300"/>
        </w:tabs>
        <w:snapToGrid w:val="0"/>
        <w:spacing w:line="500" w:lineRule="exact"/>
        <w:ind w:firstLine="570"/>
        <w:rPr>
          <w:rFonts w:hint="eastAsia" w:ascii="宋体" w:hAnsi="宋体" w:eastAsia="宋体" w:cs="宋体"/>
          <w:color w:val="auto"/>
          <w:sz w:val="24"/>
        </w:rPr>
      </w:pPr>
    </w:p>
    <w:p>
      <w:pPr>
        <w:tabs>
          <w:tab w:val="left" w:pos="630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szCs w:val="28"/>
        </w:rPr>
        <w:t>项目名称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p>
      <w:pPr>
        <w:tabs>
          <w:tab w:val="left" w:pos="6300"/>
        </w:tabs>
        <w:snapToGrid w:val="0"/>
        <w:spacing w:line="500" w:lineRule="exact"/>
        <w:ind w:firstLine="570"/>
        <w:rPr>
          <w:rFonts w:hint="eastAsia" w:ascii="宋体" w:hAnsi="宋体" w:eastAsia="宋体" w:cs="宋体"/>
          <w:color w:val="auto"/>
          <w:sz w:val="24"/>
        </w:rPr>
      </w:pPr>
    </w:p>
    <w:p>
      <w:pPr>
        <w:tabs>
          <w:tab w:val="left" w:pos="630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pPr>
        <w:tabs>
          <w:tab w:val="left" w:pos="6300"/>
        </w:tabs>
        <w:snapToGrid w:val="0"/>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（供应商名称）郑重</w:t>
      </w:r>
      <w:r>
        <w:rPr>
          <w:rFonts w:hint="eastAsia" w:ascii="宋体" w:hAnsi="宋体" w:eastAsia="宋体" w:cs="宋体"/>
          <w:color w:val="auto"/>
          <w:sz w:val="24"/>
          <w:lang w:val="en-US" w:eastAsia="zh-CN"/>
        </w:rPr>
        <w:t>承诺：</w:t>
      </w:r>
    </w:p>
    <w:p>
      <w:pPr>
        <w:numPr>
          <w:ilvl w:val="0"/>
          <w:numId w:val="5"/>
        </w:numPr>
        <w:tabs>
          <w:tab w:val="left" w:pos="6300"/>
        </w:tabs>
        <w:snapToGrid w:val="0"/>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我方具有良好的商业信誉和健全的财务会计制度，具有履行合同所必需的设备和专业技术能力，具有依法缴纳税收和社会保障金的良好记录，参加本项目采购活动前三年内无重大违法活动记录。</w:t>
      </w:r>
    </w:p>
    <w:p>
      <w:pPr>
        <w:numPr>
          <w:ilvl w:val="0"/>
          <w:numId w:val="5"/>
        </w:numPr>
        <w:tabs>
          <w:tab w:val="left" w:pos="6300"/>
        </w:tabs>
        <w:snapToGrid w:val="0"/>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我方未列入在信用中国网站（www.creditchina.gov.cn）“失信被执行人”、“重大税收违法案件当事人名单”中，也未列入中国政府采购网（www.ccgp.gov.cn）“政府采购严重违法失信行为记录名单”中。</w:t>
      </w:r>
    </w:p>
    <w:p>
      <w:pPr>
        <w:numPr>
          <w:ilvl w:val="0"/>
          <w:numId w:val="5"/>
        </w:numPr>
        <w:tabs>
          <w:tab w:val="left" w:pos="6300"/>
        </w:tabs>
        <w:snapToGrid w:val="0"/>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我方在采购项目评审（评标）环节结束后，随时接受采购人、采购代理机构的检查验证，配合提供相关证明材料，证明符合《中华人民共和国政府采购法》规定的投标人基本资格条件。</w:t>
      </w:r>
    </w:p>
    <w:p>
      <w:pPr>
        <w:numPr>
          <w:ilvl w:val="0"/>
          <w:numId w:val="0"/>
        </w:numPr>
        <w:tabs>
          <w:tab w:val="left" w:pos="6300"/>
        </w:tabs>
        <w:snapToGrid w:val="0"/>
        <w:spacing w:line="50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我方对以上承诺负全部法律责任。</w:t>
      </w:r>
    </w:p>
    <w:p>
      <w:pPr>
        <w:numPr>
          <w:ilvl w:val="0"/>
          <w:numId w:val="0"/>
        </w:numPr>
        <w:tabs>
          <w:tab w:val="left" w:pos="6300"/>
        </w:tabs>
        <w:snapToGrid w:val="0"/>
        <w:spacing w:line="50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特此承诺。</w:t>
      </w:r>
    </w:p>
    <w:p>
      <w:pPr>
        <w:tabs>
          <w:tab w:val="left" w:pos="6300"/>
        </w:tabs>
        <w:snapToGrid w:val="0"/>
        <w:spacing w:line="500" w:lineRule="exact"/>
        <w:ind w:firstLine="480" w:firstLineChars="200"/>
        <w:rPr>
          <w:rFonts w:hint="eastAsia" w:ascii="宋体" w:hAnsi="宋体" w:eastAsia="宋体" w:cs="宋体"/>
          <w:color w:val="auto"/>
          <w:sz w:val="24"/>
          <w:lang w:val="en-US" w:eastAsia="zh-CN"/>
        </w:rPr>
      </w:pPr>
      <w:bookmarkStart w:id="35" w:name="_GoBack"/>
      <w:bookmarkEnd w:id="35"/>
    </w:p>
    <w:p>
      <w:pPr>
        <w:snapToGrid w:val="0"/>
        <w:spacing w:line="400" w:lineRule="exact"/>
        <w:ind w:firstLine="480" w:firstLineChars="200"/>
        <w:rPr>
          <w:rFonts w:hint="eastAsia" w:ascii="宋体" w:hAnsi="宋体" w:eastAsia="宋体" w:cs="宋体"/>
          <w:color w:val="auto"/>
          <w:sz w:val="24"/>
          <w:szCs w:val="24"/>
        </w:rPr>
      </w:pPr>
    </w:p>
    <w:p>
      <w:pPr>
        <w:tabs>
          <w:tab w:val="left" w:pos="6300"/>
        </w:tabs>
        <w:snapToGrid w:val="0"/>
        <w:spacing w:line="500" w:lineRule="exact"/>
        <w:ind w:firstLine="570"/>
        <w:rPr>
          <w:rFonts w:hint="eastAsia" w:ascii="宋体" w:hAnsi="宋体" w:eastAsia="宋体" w:cs="宋体"/>
          <w:color w:val="auto"/>
          <w:sz w:val="24"/>
        </w:rPr>
      </w:pPr>
    </w:p>
    <w:p>
      <w:pPr>
        <w:tabs>
          <w:tab w:val="left" w:pos="6300"/>
        </w:tabs>
        <w:snapToGrid w:val="0"/>
        <w:spacing w:line="500" w:lineRule="exact"/>
        <w:ind w:firstLine="570"/>
        <w:rPr>
          <w:rFonts w:hint="eastAsia" w:ascii="宋体" w:hAnsi="宋体" w:eastAsia="宋体" w:cs="宋体"/>
          <w:color w:val="auto"/>
          <w:sz w:val="24"/>
        </w:rPr>
      </w:pPr>
    </w:p>
    <w:p>
      <w:pPr>
        <w:tabs>
          <w:tab w:val="left" w:pos="6300"/>
        </w:tabs>
        <w:snapToGrid w:val="0"/>
        <w:spacing w:line="500" w:lineRule="exact"/>
        <w:ind w:right="424" w:firstLine="570"/>
        <w:jc w:val="right"/>
        <w:rPr>
          <w:rFonts w:hint="eastAsia" w:ascii="宋体" w:hAnsi="宋体" w:eastAsia="宋体" w:cs="宋体"/>
          <w:color w:val="auto"/>
          <w:sz w:val="24"/>
        </w:rPr>
      </w:pPr>
      <w:r>
        <w:rPr>
          <w:rFonts w:hint="eastAsia" w:ascii="宋体" w:hAnsi="宋体" w:eastAsia="宋体" w:cs="宋体"/>
          <w:color w:val="auto"/>
          <w:sz w:val="24"/>
        </w:rPr>
        <w:t>（供应商公章）</w:t>
      </w:r>
    </w:p>
    <w:p>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年   月   日</w:t>
      </w:r>
    </w:p>
    <w:p>
      <w:pPr>
        <w:numPr>
          <w:ilvl w:val="0"/>
          <w:numId w:val="0"/>
        </w:numPr>
        <w:tabs>
          <w:tab w:val="left" w:pos="6300"/>
        </w:tabs>
        <w:snapToGrid w:val="0"/>
        <w:spacing w:line="500" w:lineRule="exact"/>
        <w:jc w:val="center"/>
        <w:rPr>
          <w:rFonts w:hint="eastAsia" w:ascii="宋体" w:hAnsi="宋体" w:cs="宋体"/>
          <w:color w:val="auto"/>
          <w:sz w:val="24"/>
          <w:szCs w:val="22"/>
        </w:rPr>
      </w:pPr>
      <w:r>
        <w:rPr>
          <w:rFonts w:hint="eastAsia" w:ascii="宋体" w:hAnsi="宋体" w:cs="宋体"/>
          <w:color w:val="auto"/>
        </w:rPr>
        <w:br w:type="page"/>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）特定资格条件证书或证明文件</w:t>
      </w: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tabs>
          <w:tab w:val="left" w:pos="6300"/>
        </w:tabs>
        <w:snapToGrid w:val="0"/>
        <w:spacing w:line="500" w:lineRule="exact"/>
        <w:rPr>
          <w:rFonts w:hint="eastAsia" w:ascii="宋体" w:hAnsi="宋体" w:cs="宋体"/>
          <w:color w:val="auto"/>
        </w:rPr>
      </w:pPr>
    </w:p>
    <w:p>
      <w:pPr>
        <w:pStyle w:val="2"/>
        <w:rPr>
          <w:rFonts w:hint="eastAsia" w:ascii="宋体" w:hAnsi="宋体" w:cs="宋体"/>
          <w:color w:val="auto"/>
          <w:sz w:val="24"/>
          <w:szCs w:val="22"/>
        </w:rPr>
      </w:pPr>
    </w:p>
    <w:p>
      <w:pPr>
        <w:tabs>
          <w:tab w:val="left" w:pos="6300"/>
        </w:tabs>
        <w:snapToGrid w:val="0"/>
        <w:spacing w:line="500" w:lineRule="exact"/>
        <w:ind w:firstLine="570"/>
        <w:jc w:val="left"/>
        <w:rPr>
          <w:rFonts w:hint="eastAsia" w:ascii="宋体" w:hAnsi="宋体" w:cs="宋体"/>
          <w:color w:val="auto"/>
          <w:sz w:val="24"/>
        </w:rPr>
      </w:pPr>
    </w:p>
    <w:p>
      <w:pPr>
        <w:tabs>
          <w:tab w:val="left" w:pos="6300"/>
        </w:tabs>
        <w:snapToGrid w:val="0"/>
        <w:spacing w:line="500" w:lineRule="exact"/>
        <w:ind w:firstLine="570"/>
        <w:jc w:val="left"/>
        <w:rPr>
          <w:rFonts w:hint="eastAsia" w:ascii="宋体" w:hAnsi="宋体" w:cs="宋体"/>
          <w:color w:val="auto"/>
          <w:sz w:val="24"/>
        </w:rPr>
      </w:pPr>
    </w:p>
    <w:p>
      <w:pPr>
        <w:tabs>
          <w:tab w:val="left" w:pos="6300"/>
        </w:tabs>
        <w:snapToGrid w:val="0"/>
        <w:spacing w:line="500" w:lineRule="exact"/>
        <w:ind w:firstLine="570"/>
        <w:jc w:val="left"/>
        <w:rPr>
          <w:rFonts w:hint="eastAsia" w:ascii="宋体" w:hAnsi="宋体" w:cs="宋体"/>
          <w:color w:val="auto"/>
          <w:sz w:val="24"/>
        </w:rPr>
      </w:pPr>
    </w:p>
    <w:p>
      <w:pPr>
        <w:tabs>
          <w:tab w:val="left" w:pos="6300"/>
        </w:tabs>
        <w:snapToGrid w:val="0"/>
        <w:spacing w:line="500" w:lineRule="exact"/>
        <w:ind w:firstLine="570"/>
        <w:jc w:val="left"/>
        <w:rPr>
          <w:rFonts w:hint="eastAsia" w:ascii="宋体" w:hAnsi="宋体" w:cs="宋体"/>
          <w:color w:val="auto"/>
          <w:sz w:val="24"/>
        </w:rPr>
      </w:pPr>
    </w:p>
    <w:p>
      <w:pPr>
        <w:tabs>
          <w:tab w:val="left" w:pos="6300"/>
        </w:tabs>
        <w:snapToGrid w:val="0"/>
        <w:spacing w:line="500" w:lineRule="exact"/>
        <w:ind w:firstLine="570"/>
        <w:jc w:val="left"/>
        <w:rPr>
          <w:rFonts w:hint="eastAsia" w:ascii="宋体" w:hAnsi="宋体" w:cs="宋体"/>
          <w:color w:val="auto"/>
          <w:sz w:val="24"/>
        </w:rPr>
      </w:pPr>
    </w:p>
    <w:p>
      <w:pPr>
        <w:tabs>
          <w:tab w:val="left" w:pos="6300"/>
        </w:tabs>
        <w:snapToGrid w:val="0"/>
        <w:spacing w:line="500" w:lineRule="exact"/>
        <w:ind w:firstLine="570"/>
        <w:jc w:val="left"/>
        <w:rPr>
          <w:rFonts w:hint="eastAsia" w:ascii="宋体" w:hAnsi="宋体" w:cs="宋体"/>
          <w:color w:val="auto"/>
          <w:sz w:val="24"/>
        </w:rPr>
      </w:pPr>
    </w:p>
    <w:p>
      <w:pPr>
        <w:tabs>
          <w:tab w:val="left" w:pos="6300"/>
        </w:tabs>
        <w:snapToGrid w:val="0"/>
        <w:spacing w:line="500" w:lineRule="exact"/>
        <w:ind w:firstLine="3920" w:firstLineChars="1400"/>
        <w:jc w:val="both"/>
        <w:rPr>
          <w:rFonts w:hint="eastAsia" w:ascii="宋体" w:hAnsi="宋体" w:cs="宋体"/>
          <w:color w:val="auto"/>
          <w:sz w:val="24"/>
        </w:rPr>
      </w:pPr>
      <w:r>
        <w:rPr>
          <w:rFonts w:hint="eastAsia" w:ascii="宋体" w:hAnsi="宋体" w:cs="宋体"/>
          <w:color w:val="auto"/>
        </w:rPr>
        <w:t>（结束）</w:t>
      </w:r>
    </w:p>
    <w:sectPr>
      <w:pgSz w:w="11907" w:h="16840"/>
      <w:pgMar w:top="1134" w:right="1191" w:bottom="1134" w:left="1304" w:header="964" w:footer="992" w:gutter="0"/>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A00002FF" w:usb1="28CFFCFA" w:usb2="00000016"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9010101010101"/>
    <w:charset w:val="86"/>
    <w:family w:val="modern"/>
    <w:pitch w:val="default"/>
    <w:sig w:usb0="00000001" w:usb1="080E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昆仑楷体">
    <w:altName w:val="宋体"/>
    <w:panose1 w:val="0201060900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1</w:t>
    </w:r>
    <w:r>
      <w:rPr>
        <w:sz w:val="18"/>
      </w:rPr>
      <w:fldChar w:fldCharType="end"/>
    </w:r>
  </w:p>
  <w:p>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jc w:val="center"/>
      <w:rPr>
        <w:sz w:val="18"/>
      </w:rPr>
    </w:pPr>
    <w:r>
      <w:rPr>
        <w:sz w:val="18"/>
      </w:rPr>
      <w:fldChar w:fldCharType="begin"/>
    </w:r>
    <w:r>
      <w:rPr>
        <w:sz w:val="18"/>
      </w:rPr>
      <w:instrText xml:space="preserve">PAGE</w:instrText>
    </w:r>
    <w:r>
      <w:rPr>
        <w:sz w:val="18"/>
      </w:rPr>
      <w:fldChar w:fldCharType="separate"/>
    </w:r>
    <w:r>
      <w:rPr>
        <w:sz w:val="18"/>
      </w:rPr>
      <w:t>2</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24"/>
      </w:rPr>
    </w:pPr>
    <w:r>
      <w:rPr>
        <w:sz w:val="18"/>
      </w:rPr>
      <w:fldChar w:fldCharType="begin"/>
    </w:r>
    <w:r>
      <w:rPr>
        <w:sz w:val="18"/>
      </w:rPr>
      <w:instrText xml:space="preserve">PAGE</w:instrText>
    </w:r>
    <w:r>
      <w:rPr>
        <w:sz w:val="18"/>
      </w:rPr>
      <w:fldChar w:fldCharType="separate"/>
    </w:r>
    <w:r>
      <w:rPr>
        <w:sz w:val="18"/>
      </w:rPr>
      <w:t>25</w:t>
    </w:r>
    <w:r>
      <w:rPr>
        <w:sz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方正仿宋_GBK" w:eastAsia="方正仿宋_GBK"/>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方正仿宋_GBK" w:eastAsia="方正仿宋_GBK"/>
        <w:b/>
        <w:sz w:val="21"/>
      </w:rPr>
    </w:pPr>
    <w:r>
      <w:rPr>
        <w:rFonts w:ascii="方正仿宋_GBK" w:eastAsia="方正仿宋_GBK"/>
        <w:sz w:val="21"/>
      </w:rPr>
      <w:br w:type="textWrapping"/>
    </w:r>
    <w:r>
      <w:rPr>
        <w:rFonts w:ascii="方正仿宋_GBK" w:eastAsia="方正仿宋_GBK"/>
        <w:sz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方正仿宋_GBK" w:eastAsia="方正仿宋_GBK"/>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9FF89C"/>
    <w:multiLevelType w:val="singleLevel"/>
    <w:tmpl w:val="CD9FF89C"/>
    <w:lvl w:ilvl="0" w:tentative="0">
      <w:start w:val="2"/>
      <w:numFmt w:val="chineseCounting"/>
      <w:suff w:val="space"/>
      <w:lvlText w:val="第%1篇"/>
      <w:lvlJc w:val="left"/>
      <w:rPr>
        <w:rFonts w:hint="eastAsia"/>
      </w:rPr>
    </w:lvl>
  </w:abstractNum>
  <w:abstractNum w:abstractNumId="1">
    <w:nsid w:val="31BCE6F5"/>
    <w:multiLevelType w:val="singleLevel"/>
    <w:tmpl w:val="31BCE6F5"/>
    <w:lvl w:ilvl="0" w:tentative="0">
      <w:start w:val="1"/>
      <w:numFmt w:val="chineseCounting"/>
      <w:suff w:val="nothing"/>
      <w:lvlText w:val="%1、"/>
      <w:lvlJc w:val="left"/>
      <w:rPr>
        <w:rFonts w:hint="eastAsia"/>
      </w:rPr>
    </w:lvl>
  </w:abstractNum>
  <w:abstractNum w:abstractNumId="2">
    <w:nsid w:val="6269015D"/>
    <w:multiLevelType w:val="singleLevel"/>
    <w:tmpl w:val="6269015D"/>
    <w:lvl w:ilvl="0" w:tentative="0">
      <w:start w:val="2"/>
      <w:numFmt w:val="chineseCounting"/>
      <w:suff w:val="nothing"/>
      <w:lvlText w:val="%1、"/>
      <w:lvlJc w:val="left"/>
    </w:lvl>
  </w:abstractNum>
  <w:abstractNum w:abstractNumId="3">
    <w:nsid w:val="62734E31"/>
    <w:multiLevelType w:val="singleLevel"/>
    <w:tmpl w:val="62734E31"/>
    <w:lvl w:ilvl="0" w:tentative="0">
      <w:start w:val="1"/>
      <w:numFmt w:val="decimal"/>
      <w:suff w:val="nothing"/>
      <w:lvlText w:val="%1."/>
      <w:lvlJc w:val="left"/>
    </w:lvl>
  </w:abstractNum>
  <w:abstractNum w:abstractNumId="4">
    <w:nsid w:val="6BC1CD49"/>
    <w:multiLevelType w:val="singleLevel"/>
    <w:tmpl w:val="6BC1CD49"/>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OWUxZDQ0NDY3M2U3Yzk4ODFlOGNlZjVlZjFmZDgifQ=="/>
  </w:docVars>
  <w:rsids>
    <w:rsidRoot w:val="00172A27"/>
    <w:rsid w:val="00002F22"/>
    <w:rsid w:val="00023735"/>
    <w:rsid w:val="000874D1"/>
    <w:rsid w:val="000C474C"/>
    <w:rsid w:val="000D13B9"/>
    <w:rsid w:val="000D3B31"/>
    <w:rsid w:val="000E5846"/>
    <w:rsid w:val="00103CA0"/>
    <w:rsid w:val="0010402E"/>
    <w:rsid w:val="00116139"/>
    <w:rsid w:val="00116BFE"/>
    <w:rsid w:val="00144838"/>
    <w:rsid w:val="0016336D"/>
    <w:rsid w:val="00184CE8"/>
    <w:rsid w:val="00185F13"/>
    <w:rsid w:val="001C246C"/>
    <w:rsid w:val="00203FEB"/>
    <w:rsid w:val="00207443"/>
    <w:rsid w:val="00257461"/>
    <w:rsid w:val="00277B83"/>
    <w:rsid w:val="00292D1F"/>
    <w:rsid w:val="002A10AC"/>
    <w:rsid w:val="002A66B1"/>
    <w:rsid w:val="002A6986"/>
    <w:rsid w:val="002B1A50"/>
    <w:rsid w:val="002E37ED"/>
    <w:rsid w:val="002E39A1"/>
    <w:rsid w:val="003203F0"/>
    <w:rsid w:val="00325F1D"/>
    <w:rsid w:val="003315D2"/>
    <w:rsid w:val="00342A37"/>
    <w:rsid w:val="00346342"/>
    <w:rsid w:val="00355724"/>
    <w:rsid w:val="00374C5B"/>
    <w:rsid w:val="00375C70"/>
    <w:rsid w:val="003A2068"/>
    <w:rsid w:val="003B3FEF"/>
    <w:rsid w:val="003F0E76"/>
    <w:rsid w:val="00406861"/>
    <w:rsid w:val="00410587"/>
    <w:rsid w:val="00422757"/>
    <w:rsid w:val="00423783"/>
    <w:rsid w:val="004242DA"/>
    <w:rsid w:val="00424A41"/>
    <w:rsid w:val="00433C31"/>
    <w:rsid w:val="004355DB"/>
    <w:rsid w:val="00437747"/>
    <w:rsid w:val="00466884"/>
    <w:rsid w:val="00475B48"/>
    <w:rsid w:val="004A0513"/>
    <w:rsid w:val="004A1888"/>
    <w:rsid w:val="004B5010"/>
    <w:rsid w:val="004D4625"/>
    <w:rsid w:val="004E0E9A"/>
    <w:rsid w:val="005058A3"/>
    <w:rsid w:val="00512692"/>
    <w:rsid w:val="005217E9"/>
    <w:rsid w:val="00530A56"/>
    <w:rsid w:val="0053314C"/>
    <w:rsid w:val="00541E7F"/>
    <w:rsid w:val="00543021"/>
    <w:rsid w:val="00572E68"/>
    <w:rsid w:val="0059024D"/>
    <w:rsid w:val="0059321C"/>
    <w:rsid w:val="005B1CB6"/>
    <w:rsid w:val="005B52E2"/>
    <w:rsid w:val="005C2E92"/>
    <w:rsid w:val="005C522C"/>
    <w:rsid w:val="005D3EE3"/>
    <w:rsid w:val="00640181"/>
    <w:rsid w:val="00640CA9"/>
    <w:rsid w:val="006639C5"/>
    <w:rsid w:val="006667E6"/>
    <w:rsid w:val="00675C5C"/>
    <w:rsid w:val="006928E2"/>
    <w:rsid w:val="006A5BB5"/>
    <w:rsid w:val="006D06FC"/>
    <w:rsid w:val="0070502B"/>
    <w:rsid w:val="00747271"/>
    <w:rsid w:val="00765703"/>
    <w:rsid w:val="00772F0B"/>
    <w:rsid w:val="00777627"/>
    <w:rsid w:val="0079713C"/>
    <w:rsid w:val="007A6331"/>
    <w:rsid w:val="007B105A"/>
    <w:rsid w:val="007B240B"/>
    <w:rsid w:val="007C0190"/>
    <w:rsid w:val="007C1574"/>
    <w:rsid w:val="007D766D"/>
    <w:rsid w:val="007F79C1"/>
    <w:rsid w:val="00804DD0"/>
    <w:rsid w:val="00817DD3"/>
    <w:rsid w:val="00830152"/>
    <w:rsid w:val="00830E5A"/>
    <w:rsid w:val="008314CF"/>
    <w:rsid w:val="008404FB"/>
    <w:rsid w:val="00857ED9"/>
    <w:rsid w:val="00870182"/>
    <w:rsid w:val="00881157"/>
    <w:rsid w:val="0089005B"/>
    <w:rsid w:val="00894B6D"/>
    <w:rsid w:val="008E66AE"/>
    <w:rsid w:val="008E6FD6"/>
    <w:rsid w:val="00923713"/>
    <w:rsid w:val="009256A9"/>
    <w:rsid w:val="009306C9"/>
    <w:rsid w:val="00944929"/>
    <w:rsid w:val="00954785"/>
    <w:rsid w:val="00963061"/>
    <w:rsid w:val="00971DC4"/>
    <w:rsid w:val="00982E83"/>
    <w:rsid w:val="00983FF6"/>
    <w:rsid w:val="009B1C56"/>
    <w:rsid w:val="00A32A78"/>
    <w:rsid w:val="00A3367B"/>
    <w:rsid w:val="00A47A4F"/>
    <w:rsid w:val="00A726A2"/>
    <w:rsid w:val="00A77AB1"/>
    <w:rsid w:val="00A82F79"/>
    <w:rsid w:val="00A9195A"/>
    <w:rsid w:val="00A979FB"/>
    <w:rsid w:val="00AB3E1F"/>
    <w:rsid w:val="00AC5597"/>
    <w:rsid w:val="00AD7B31"/>
    <w:rsid w:val="00AE2A3B"/>
    <w:rsid w:val="00AE4F61"/>
    <w:rsid w:val="00B12D45"/>
    <w:rsid w:val="00B133E5"/>
    <w:rsid w:val="00B44E5A"/>
    <w:rsid w:val="00B73084"/>
    <w:rsid w:val="00B77556"/>
    <w:rsid w:val="00B80CAC"/>
    <w:rsid w:val="00BC2E04"/>
    <w:rsid w:val="00BE2FEB"/>
    <w:rsid w:val="00C03196"/>
    <w:rsid w:val="00C1040F"/>
    <w:rsid w:val="00C34197"/>
    <w:rsid w:val="00C350E1"/>
    <w:rsid w:val="00C54652"/>
    <w:rsid w:val="00C73E19"/>
    <w:rsid w:val="00C7755A"/>
    <w:rsid w:val="00C915F7"/>
    <w:rsid w:val="00CB3110"/>
    <w:rsid w:val="00CE6463"/>
    <w:rsid w:val="00CE6E1A"/>
    <w:rsid w:val="00CF29FA"/>
    <w:rsid w:val="00D027DD"/>
    <w:rsid w:val="00D12867"/>
    <w:rsid w:val="00D17721"/>
    <w:rsid w:val="00D53035"/>
    <w:rsid w:val="00D7299F"/>
    <w:rsid w:val="00D8330D"/>
    <w:rsid w:val="00DA1AD9"/>
    <w:rsid w:val="00DB4782"/>
    <w:rsid w:val="00DF62CA"/>
    <w:rsid w:val="00E15D07"/>
    <w:rsid w:val="00E405CC"/>
    <w:rsid w:val="00E61FE0"/>
    <w:rsid w:val="00E73FC5"/>
    <w:rsid w:val="00E97253"/>
    <w:rsid w:val="00EA4345"/>
    <w:rsid w:val="00EF74E8"/>
    <w:rsid w:val="00F02B88"/>
    <w:rsid w:val="00F04567"/>
    <w:rsid w:val="00F47B14"/>
    <w:rsid w:val="00F8483A"/>
    <w:rsid w:val="00F86604"/>
    <w:rsid w:val="00F92AD6"/>
    <w:rsid w:val="00FA02BC"/>
    <w:rsid w:val="00FB27F8"/>
    <w:rsid w:val="00FB7231"/>
    <w:rsid w:val="00FF0C81"/>
    <w:rsid w:val="010011A5"/>
    <w:rsid w:val="010318AF"/>
    <w:rsid w:val="0116665D"/>
    <w:rsid w:val="012979C4"/>
    <w:rsid w:val="013072D5"/>
    <w:rsid w:val="015447B4"/>
    <w:rsid w:val="01625530"/>
    <w:rsid w:val="019935E6"/>
    <w:rsid w:val="02045986"/>
    <w:rsid w:val="023562DC"/>
    <w:rsid w:val="02436240"/>
    <w:rsid w:val="024479FF"/>
    <w:rsid w:val="027C74D8"/>
    <w:rsid w:val="02940187"/>
    <w:rsid w:val="03075429"/>
    <w:rsid w:val="030C1B3D"/>
    <w:rsid w:val="030E1CC6"/>
    <w:rsid w:val="0316383D"/>
    <w:rsid w:val="035D4591"/>
    <w:rsid w:val="03A06856"/>
    <w:rsid w:val="03FB7A48"/>
    <w:rsid w:val="0401695F"/>
    <w:rsid w:val="0435513C"/>
    <w:rsid w:val="045543D9"/>
    <w:rsid w:val="04CA73F0"/>
    <w:rsid w:val="04E470A0"/>
    <w:rsid w:val="04F5199B"/>
    <w:rsid w:val="055F3454"/>
    <w:rsid w:val="05823A16"/>
    <w:rsid w:val="05A90220"/>
    <w:rsid w:val="0670421A"/>
    <w:rsid w:val="06BD682C"/>
    <w:rsid w:val="06D061C7"/>
    <w:rsid w:val="07233442"/>
    <w:rsid w:val="073E055C"/>
    <w:rsid w:val="075C7020"/>
    <w:rsid w:val="083D1BF0"/>
    <w:rsid w:val="08A71090"/>
    <w:rsid w:val="09D87F7E"/>
    <w:rsid w:val="09FD148B"/>
    <w:rsid w:val="0A1811B0"/>
    <w:rsid w:val="0A42712F"/>
    <w:rsid w:val="0A45553E"/>
    <w:rsid w:val="0A4F60F9"/>
    <w:rsid w:val="0A573505"/>
    <w:rsid w:val="0ABF0394"/>
    <w:rsid w:val="0AD0730E"/>
    <w:rsid w:val="0B4863C5"/>
    <w:rsid w:val="0B5D0144"/>
    <w:rsid w:val="0B624CBC"/>
    <w:rsid w:val="0B6E02E3"/>
    <w:rsid w:val="0BF707F5"/>
    <w:rsid w:val="0C5D067C"/>
    <w:rsid w:val="0CB36FF1"/>
    <w:rsid w:val="0D1541E1"/>
    <w:rsid w:val="0D1C05F5"/>
    <w:rsid w:val="0D45371C"/>
    <w:rsid w:val="0DB87D07"/>
    <w:rsid w:val="0DD0476C"/>
    <w:rsid w:val="0EB639AD"/>
    <w:rsid w:val="0EB7120C"/>
    <w:rsid w:val="0ED166B0"/>
    <w:rsid w:val="0EE865B1"/>
    <w:rsid w:val="0F0355F1"/>
    <w:rsid w:val="0F0F35AE"/>
    <w:rsid w:val="0F1346C1"/>
    <w:rsid w:val="0F2642B9"/>
    <w:rsid w:val="0F8569AE"/>
    <w:rsid w:val="0FC67403"/>
    <w:rsid w:val="0FE54080"/>
    <w:rsid w:val="10461F43"/>
    <w:rsid w:val="10B05AE6"/>
    <w:rsid w:val="10D32892"/>
    <w:rsid w:val="10EC3CE0"/>
    <w:rsid w:val="10FC5B61"/>
    <w:rsid w:val="11141CCD"/>
    <w:rsid w:val="11426955"/>
    <w:rsid w:val="114A5E11"/>
    <w:rsid w:val="11562B31"/>
    <w:rsid w:val="115C395E"/>
    <w:rsid w:val="11B80FB9"/>
    <w:rsid w:val="11E300CE"/>
    <w:rsid w:val="11E3350C"/>
    <w:rsid w:val="12136000"/>
    <w:rsid w:val="122326F0"/>
    <w:rsid w:val="123369AF"/>
    <w:rsid w:val="12B058B8"/>
    <w:rsid w:val="131E0AB8"/>
    <w:rsid w:val="132D364D"/>
    <w:rsid w:val="133C75BE"/>
    <w:rsid w:val="136B34CF"/>
    <w:rsid w:val="1387467E"/>
    <w:rsid w:val="139A5481"/>
    <w:rsid w:val="13A34A12"/>
    <w:rsid w:val="13B567D8"/>
    <w:rsid w:val="13BB4B0E"/>
    <w:rsid w:val="140D5155"/>
    <w:rsid w:val="14A54699"/>
    <w:rsid w:val="14B335C6"/>
    <w:rsid w:val="15037006"/>
    <w:rsid w:val="153979CA"/>
    <w:rsid w:val="15583CF4"/>
    <w:rsid w:val="15807214"/>
    <w:rsid w:val="15A5462A"/>
    <w:rsid w:val="15AC3555"/>
    <w:rsid w:val="15C40F54"/>
    <w:rsid w:val="16763332"/>
    <w:rsid w:val="16C12992"/>
    <w:rsid w:val="17C875A9"/>
    <w:rsid w:val="17EB594C"/>
    <w:rsid w:val="18820242"/>
    <w:rsid w:val="189942F0"/>
    <w:rsid w:val="18AE49A8"/>
    <w:rsid w:val="18C938B4"/>
    <w:rsid w:val="18E5397A"/>
    <w:rsid w:val="1924774D"/>
    <w:rsid w:val="19442E4E"/>
    <w:rsid w:val="19464200"/>
    <w:rsid w:val="19601EF0"/>
    <w:rsid w:val="198A42C2"/>
    <w:rsid w:val="19C308F0"/>
    <w:rsid w:val="1A17690B"/>
    <w:rsid w:val="1A736465"/>
    <w:rsid w:val="1ABC42AC"/>
    <w:rsid w:val="1ADC6125"/>
    <w:rsid w:val="1B3E543A"/>
    <w:rsid w:val="1B4021A5"/>
    <w:rsid w:val="1B481CCF"/>
    <w:rsid w:val="1B65127F"/>
    <w:rsid w:val="1B651B51"/>
    <w:rsid w:val="1C09400C"/>
    <w:rsid w:val="1C39470B"/>
    <w:rsid w:val="1C757574"/>
    <w:rsid w:val="1CA613B3"/>
    <w:rsid w:val="1CAA0CAD"/>
    <w:rsid w:val="1D30210A"/>
    <w:rsid w:val="1D3E218A"/>
    <w:rsid w:val="1D436F3A"/>
    <w:rsid w:val="1D4D64B9"/>
    <w:rsid w:val="1D523A17"/>
    <w:rsid w:val="1D76488C"/>
    <w:rsid w:val="1DA30696"/>
    <w:rsid w:val="1DC07E1F"/>
    <w:rsid w:val="1E2C58E8"/>
    <w:rsid w:val="1EE00E2C"/>
    <w:rsid w:val="1EE73EF7"/>
    <w:rsid w:val="1F117B06"/>
    <w:rsid w:val="1F215EFE"/>
    <w:rsid w:val="1F281B8E"/>
    <w:rsid w:val="1F3F440D"/>
    <w:rsid w:val="1F7F6898"/>
    <w:rsid w:val="1F9A3F52"/>
    <w:rsid w:val="1FA0653A"/>
    <w:rsid w:val="1FD75728"/>
    <w:rsid w:val="20061E6E"/>
    <w:rsid w:val="20077685"/>
    <w:rsid w:val="204D1CD6"/>
    <w:rsid w:val="2063153F"/>
    <w:rsid w:val="2071475A"/>
    <w:rsid w:val="208823FC"/>
    <w:rsid w:val="20B0044F"/>
    <w:rsid w:val="20BC787C"/>
    <w:rsid w:val="2105378B"/>
    <w:rsid w:val="21144BC5"/>
    <w:rsid w:val="21696FB4"/>
    <w:rsid w:val="22153926"/>
    <w:rsid w:val="221A0641"/>
    <w:rsid w:val="22C24381"/>
    <w:rsid w:val="230C3DB8"/>
    <w:rsid w:val="234E57E3"/>
    <w:rsid w:val="23B85829"/>
    <w:rsid w:val="23BB08AE"/>
    <w:rsid w:val="23DD5DEA"/>
    <w:rsid w:val="24086F00"/>
    <w:rsid w:val="2416382C"/>
    <w:rsid w:val="243F4595"/>
    <w:rsid w:val="24FA6011"/>
    <w:rsid w:val="25136530"/>
    <w:rsid w:val="254E16D3"/>
    <w:rsid w:val="25610894"/>
    <w:rsid w:val="25C666FA"/>
    <w:rsid w:val="25CE5F8E"/>
    <w:rsid w:val="25D56C18"/>
    <w:rsid w:val="2659223A"/>
    <w:rsid w:val="2685188E"/>
    <w:rsid w:val="26A96731"/>
    <w:rsid w:val="26BF0A5F"/>
    <w:rsid w:val="26D50D72"/>
    <w:rsid w:val="26E80C72"/>
    <w:rsid w:val="26FB4C51"/>
    <w:rsid w:val="26FC6BC7"/>
    <w:rsid w:val="2735498E"/>
    <w:rsid w:val="27695592"/>
    <w:rsid w:val="27952CFE"/>
    <w:rsid w:val="27B61E3E"/>
    <w:rsid w:val="284455BD"/>
    <w:rsid w:val="287E64FF"/>
    <w:rsid w:val="28D6784D"/>
    <w:rsid w:val="28EB1D00"/>
    <w:rsid w:val="28F825F5"/>
    <w:rsid w:val="290556B4"/>
    <w:rsid w:val="291369EA"/>
    <w:rsid w:val="29307A33"/>
    <w:rsid w:val="294B11E3"/>
    <w:rsid w:val="294B23CF"/>
    <w:rsid w:val="29C70CC4"/>
    <w:rsid w:val="29DC45A7"/>
    <w:rsid w:val="2A0B40B0"/>
    <w:rsid w:val="2A847B4D"/>
    <w:rsid w:val="2AC563B9"/>
    <w:rsid w:val="2AFF7497"/>
    <w:rsid w:val="2B3E72EC"/>
    <w:rsid w:val="2B5B478F"/>
    <w:rsid w:val="2B7173D6"/>
    <w:rsid w:val="2BEC5ED9"/>
    <w:rsid w:val="2C0A5EC7"/>
    <w:rsid w:val="2C3771BF"/>
    <w:rsid w:val="2D3C4843"/>
    <w:rsid w:val="2D484482"/>
    <w:rsid w:val="2D770FE3"/>
    <w:rsid w:val="2DF84D41"/>
    <w:rsid w:val="2E092D08"/>
    <w:rsid w:val="2E1D524D"/>
    <w:rsid w:val="2E323AB9"/>
    <w:rsid w:val="2F3E0FF5"/>
    <w:rsid w:val="2F7A15C8"/>
    <w:rsid w:val="2F7C4652"/>
    <w:rsid w:val="2FA57FE4"/>
    <w:rsid w:val="306578A3"/>
    <w:rsid w:val="30B23158"/>
    <w:rsid w:val="310137C3"/>
    <w:rsid w:val="311E4E45"/>
    <w:rsid w:val="31264C73"/>
    <w:rsid w:val="31357B6D"/>
    <w:rsid w:val="31501C92"/>
    <w:rsid w:val="31611710"/>
    <w:rsid w:val="31911238"/>
    <w:rsid w:val="320745E6"/>
    <w:rsid w:val="321B1F4D"/>
    <w:rsid w:val="32331F84"/>
    <w:rsid w:val="323E5C12"/>
    <w:rsid w:val="326F18B1"/>
    <w:rsid w:val="32A95659"/>
    <w:rsid w:val="32CF5169"/>
    <w:rsid w:val="32DE2FCF"/>
    <w:rsid w:val="32E76B96"/>
    <w:rsid w:val="336F5D87"/>
    <w:rsid w:val="33A830C8"/>
    <w:rsid w:val="33D15E84"/>
    <w:rsid w:val="33E93E31"/>
    <w:rsid w:val="34082C0F"/>
    <w:rsid w:val="344C6D79"/>
    <w:rsid w:val="34666726"/>
    <w:rsid w:val="349A586B"/>
    <w:rsid w:val="34BE2834"/>
    <w:rsid w:val="34DD4B92"/>
    <w:rsid w:val="357E2F69"/>
    <w:rsid w:val="35EA6FC1"/>
    <w:rsid w:val="360F68C0"/>
    <w:rsid w:val="36426FE6"/>
    <w:rsid w:val="36927BAE"/>
    <w:rsid w:val="36FA4EA0"/>
    <w:rsid w:val="370B5CB7"/>
    <w:rsid w:val="375677B8"/>
    <w:rsid w:val="37636617"/>
    <w:rsid w:val="37B03ED7"/>
    <w:rsid w:val="37E27568"/>
    <w:rsid w:val="38071507"/>
    <w:rsid w:val="3818710B"/>
    <w:rsid w:val="38231E35"/>
    <w:rsid w:val="382D0E39"/>
    <w:rsid w:val="38343B26"/>
    <w:rsid w:val="38403255"/>
    <w:rsid w:val="384D7255"/>
    <w:rsid w:val="384F317D"/>
    <w:rsid w:val="386E2266"/>
    <w:rsid w:val="38706142"/>
    <w:rsid w:val="39556532"/>
    <w:rsid w:val="39AF472B"/>
    <w:rsid w:val="39B52BA1"/>
    <w:rsid w:val="39D25632"/>
    <w:rsid w:val="39D73990"/>
    <w:rsid w:val="39D930D3"/>
    <w:rsid w:val="39FA0932"/>
    <w:rsid w:val="3A3B0CD3"/>
    <w:rsid w:val="3A417360"/>
    <w:rsid w:val="3A713932"/>
    <w:rsid w:val="3A980DA9"/>
    <w:rsid w:val="3AA061FF"/>
    <w:rsid w:val="3AC20CA4"/>
    <w:rsid w:val="3B1402DE"/>
    <w:rsid w:val="3B614E52"/>
    <w:rsid w:val="3B7D5A9C"/>
    <w:rsid w:val="3BB81B19"/>
    <w:rsid w:val="3BDD0837"/>
    <w:rsid w:val="3C3015B6"/>
    <w:rsid w:val="3C49739D"/>
    <w:rsid w:val="3C5C2FE3"/>
    <w:rsid w:val="3C710B39"/>
    <w:rsid w:val="3C8C7E16"/>
    <w:rsid w:val="3C8F5B6A"/>
    <w:rsid w:val="3CAE2F61"/>
    <w:rsid w:val="3CB37FD6"/>
    <w:rsid w:val="3CEE3716"/>
    <w:rsid w:val="3D517157"/>
    <w:rsid w:val="3D7E5045"/>
    <w:rsid w:val="3E3B7285"/>
    <w:rsid w:val="3E560FB6"/>
    <w:rsid w:val="3E625A65"/>
    <w:rsid w:val="3ED762CC"/>
    <w:rsid w:val="3EE75724"/>
    <w:rsid w:val="3F060B0F"/>
    <w:rsid w:val="3F1E7C0A"/>
    <w:rsid w:val="3F6F1C7B"/>
    <w:rsid w:val="3F842C75"/>
    <w:rsid w:val="403E385C"/>
    <w:rsid w:val="406E2058"/>
    <w:rsid w:val="40922E42"/>
    <w:rsid w:val="40947F86"/>
    <w:rsid w:val="40CB7CCE"/>
    <w:rsid w:val="40CD1BE1"/>
    <w:rsid w:val="40CF1090"/>
    <w:rsid w:val="412C2E27"/>
    <w:rsid w:val="417269B6"/>
    <w:rsid w:val="417B3D00"/>
    <w:rsid w:val="41847D69"/>
    <w:rsid w:val="420269A8"/>
    <w:rsid w:val="421F53F2"/>
    <w:rsid w:val="4238148D"/>
    <w:rsid w:val="42A95869"/>
    <w:rsid w:val="430477B4"/>
    <w:rsid w:val="431D2A08"/>
    <w:rsid w:val="43B532C3"/>
    <w:rsid w:val="440B2C57"/>
    <w:rsid w:val="44786D7E"/>
    <w:rsid w:val="44AA33CE"/>
    <w:rsid w:val="44ED7B56"/>
    <w:rsid w:val="44F56913"/>
    <w:rsid w:val="4511585F"/>
    <w:rsid w:val="45301287"/>
    <w:rsid w:val="454B42C2"/>
    <w:rsid w:val="45C22AF4"/>
    <w:rsid w:val="45CD25A4"/>
    <w:rsid w:val="45D45EF7"/>
    <w:rsid w:val="45D57044"/>
    <w:rsid w:val="46140E95"/>
    <w:rsid w:val="465D7E5D"/>
    <w:rsid w:val="46623148"/>
    <w:rsid w:val="46676190"/>
    <w:rsid w:val="473C166C"/>
    <w:rsid w:val="476678AD"/>
    <w:rsid w:val="476A2BF5"/>
    <w:rsid w:val="47B71253"/>
    <w:rsid w:val="47C56D45"/>
    <w:rsid w:val="47E44DD5"/>
    <w:rsid w:val="480919F4"/>
    <w:rsid w:val="49143622"/>
    <w:rsid w:val="491B1F01"/>
    <w:rsid w:val="494C28C3"/>
    <w:rsid w:val="497C7CB5"/>
    <w:rsid w:val="499F3F39"/>
    <w:rsid w:val="499F4197"/>
    <w:rsid w:val="49CE5C03"/>
    <w:rsid w:val="49F22B8F"/>
    <w:rsid w:val="4A1E5C1E"/>
    <w:rsid w:val="4A23527B"/>
    <w:rsid w:val="4A7B4406"/>
    <w:rsid w:val="4A942912"/>
    <w:rsid w:val="4AAD5BD8"/>
    <w:rsid w:val="4AF64F9A"/>
    <w:rsid w:val="4B5F0497"/>
    <w:rsid w:val="4B6E3628"/>
    <w:rsid w:val="4B6E5675"/>
    <w:rsid w:val="4B807897"/>
    <w:rsid w:val="4B8E0101"/>
    <w:rsid w:val="4B9A5CD8"/>
    <w:rsid w:val="4BAB0363"/>
    <w:rsid w:val="4BBA3CCB"/>
    <w:rsid w:val="4C020640"/>
    <w:rsid w:val="4C0557B3"/>
    <w:rsid w:val="4C0D38C5"/>
    <w:rsid w:val="4C303801"/>
    <w:rsid w:val="4C5463BF"/>
    <w:rsid w:val="4C663924"/>
    <w:rsid w:val="4CE82173"/>
    <w:rsid w:val="4D0075BB"/>
    <w:rsid w:val="4D403A8F"/>
    <w:rsid w:val="4D625C3F"/>
    <w:rsid w:val="4D675DE5"/>
    <w:rsid w:val="4DBC4C0B"/>
    <w:rsid w:val="4DE935EC"/>
    <w:rsid w:val="4E750AE2"/>
    <w:rsid w:val="4EBC7569"/>
    <w:rsid w:val="4EDC6873"/>
    <w:rsid w:val="4F2F2D80"/>
    <w:rsid w:val="4F745A69"/>
    <w:rsid w:val="4F7470A6"/>
    <w:rsid w:val="4F8149EB"/>
    <w:rsid w:val="4FA4223A"/>
    <w:rsid w:val="4FB255E5"/>
    <w:rsid w:val="50557A4C"/>
    <w:rsid w:val="505C44DC"/>
    <w:rsid w:val="50C25AB5"/>
    <w:rsid w:val="50F723F7"/>
    <w:rsid w:val="51290CC6"/>
    <w:rsid w:val="517169D7"/>
    <w:rsid w:val="5190705D"/>
    <w:rsid w:val="51DD4FB1"/>
    <w:rsid w:val="521C5977"/>
    <w:rsid w:val="522F2F93"/>
    <w:rsid w:val="52374841"/>
    <w:rsid w:val="525941F7"/>
    <w:rsid w:val="526428B8"/>
    <w:rsid w:val="527C6DC5"/>
    <w:rsid w:val="52B35636"/>
    <w:rsid w:val="52D038F1"/>
    <w:rsid w:val="52EF2717"/>
    <w:rsid w:val="53262953"/>
    <w:rsid w:val="532A2681"/>
    <w:rsid w:val="534D53DE"/>
    <w:rsid w:val="535D6092"/>
    <w:rsid w:val="53720438"/>
    <w:rsid w:val="539322B7"/>
    <w:rsid w:val="53C27D01"/>
    <w:rsid w:val="53D40668"/>
    <w:rsid w:val="53D46027"/>
    <w:rsid w:val="547D17C0"/>
    <w:rsid w:val="54A60665"/>
    <w:rsid w:val="54B52E4E"/>
    <w:rsid w:val="54BE0DC4"/>
    <w:rsid w:val="54E536D6"/>
    <w:rsid w:val="552D7D4C"/>
    <w:rsid w:val="559E6360"/>
    <w:rsid w:val="55AC6E9D"/>
    <w:rsid w:val="55BF226A"/>
    <w:rsid w:val="55DF1E24"/>
    <w:rsid w:val="55F36710"/>
    <w:rsid w:val="568E06C7"/>
    <w:rsid w:val="56D40D6D"/>
    <w:rsid w:val="572674ED"/>
    <w:rsid w:val="573E5462"/>
    <w:rsid w:val="57AB5FF7"/>
    <w:rsid w:val="57E01F5C"/>
    <w:rsid w:val="57F30FE6"/>
    <w:rsid w:val="57FB404F"/>
    <w:rsid w:val="580A5CCB"/>
    <w:rsid w:val="58107452"/>
    <w:rsid w:val="58190F87"/>
    <w:rsid w:val="581F0E4D"/>
    <w:rsid w:val="583F1D90"/>
    <w:rsid w:val="58A473FA"/>
    <w:rsid w:val="58B40C70"/>
    <w:rsid w:val="58D45BE8"/>
    <w:rsid w:val="590C7B58"/>
    <w:rsid w:val="59436710"/>
    <w:rsid w:val="5A147C1B"/>
    <w:rsid w:val="5A3841B4"/>
    <w:rsid w:val="5A3E1365"/>
    <w:rsid w:val="5A66202F"/>
    <w:rsid w:val="5A91101A"/>
    <w:rsid w:val="5AB05956"/>
    <w:rsid w:val="5B187530"/>
    <w:rsid w:val="5B214C24"/>
    <w:rsid w:val="5B3228C3"/>
    <w:rsid w:val="5BB0534A"/>
    <w:rsid w:val="5BC766E8"/>
    <w:rsid w:val="5C1549A1"/>
    <w:rsid w:val="5C1A0F64"/>
    <w:rsid w:val="5C4C0BFA"/>
    <w:rsid w:val="5CD271BB"/>
    <w:rsid w:val="5D3E62A7"/>
    <w:rsid w:val="5D6A59B6"/>
    <w:rsid w:val="5DC41CF7"/>
    <w:rsid w:val="5DE33B36"/>
    <w:rsid w:val="5E182642"/>
    <w:rsid w:val="5E431E19"/>
    <w:rsid w:val="5E8D7A34"/>
    <w:rsid w:val="5E9B402B"/>
    <w:rsid w:val="5EA9318E"/>
    <w:rsid w:val="5EC209DD"/>
    <w:rsid w:val="5F351B48"/>
    <w:rsid w:val="5FC11AE9"/>
    <w:rsid w:val="5FC7467C"/>
    <w:rsid w:val="5FCA3CCE"/>
    <w:rsid w:val="5FE3284B"/>
    <w:rsid w:val="600624C3"/>
    <w:rsid w:val="600D313D"/>
    <w:rsid w:val="601B1EDC"/>
    <w:rsid w:val="60591029"/>
    <w:rsid w:val="606D3C78"/>
    <w:rsid w:val="6071537F"/>
    <w:rsid w:val="60F53C36"/>
    <w:rsid w:val="61515DE1"/>
    <w:rsid w:val="61DC6B01"/>
    <w:rsid w:val="61E01520"/>
    <w:rsid w:val="61FC1E4D"/>
    <w:rsid w:val="62390CB6"/>
    <w:rsid w:val="626F338E"/>
    <w:rsid w:val="629374B2"/>
    <w:rsid w:val="63603CBC"/>
    <w:rsid w:val="63D1568C"/>
    <w:rsid w:val="6427269F"/>
    <w:rsid w:val="646544CF"/>
    <w:rsid w:val="64F71BEA"/>
    <w:rsid w:val="650D0136"/>
    <w:rsid w:val="653C481B"/>
    <w:rsid w:val="6559147F"/>
    <w:rsid w:val="65777138"/>
    <w:rsid w:val="65F06DBC"/>
    <w:rsid w:val="664A15C9"/>
    <w:rsid w:val="6690774E"/>
    <w:rsid w:val="66A504F5"/>
    <w:rsid w:val="66B42EA1"/>
    <w:rsid w:val="67050C42"/>
    <w:rsid w:val="671E661F"/>
    <w:rsid w:val="675E58BF"/>
    <w:rsid w:val="679C540B"/>
    <w:rsid w:val="68210CC2"/>
    <w:rsid w:val="68415D17"/>
    <w:rsid w:val="68520D40"/>
    <w:rsid w:val="685B605C"/>
    <w:rsid w:val="68C01468"/>
    <w:rsid w:val="68D15606"/>
    <w:rsid w:val="68D96646"/>
    <w:rsid w:val="68E861ED"/>
    <w:rsid w:val="693524D6"/>
    <w:rsid w:val="696C1D1C"/>
    <w:rsid w:val="69F62E3B"/>
    <w:rsid w:val="6A494662"/>
    <w:rsid w:val="6A7102AE"/>
    <w:rsid w:val="6B2E2021"/>
    <w:rsid w:val="6BCE5A38"/>
    <w:rsid w:val="6C4E4E48"/>
    <w:rsid w:val="6C4F1981"/>
    <w:rsid w:val="6C5B49E4"/>
    <w:rsid w:val="6D1C30F0"/>
    <w:rsid w:val="6D3D0829"/>
    <w:rsid w:val="6E405328"/>
    <w:rsid w:val="6E6F6882"/>
    <w:rsid w:val="6EFE66DE"/>
    <w:rsid w:val="6F456EC1"/>
    <w:rsid w:val="70004F3B"/>
    <w:rsid w:val="70172AF8"/>
    <w:rsid w:val="701873E8"/>
    <w:rsid w:val="703D4DE0"/>
    <w:rsid w:val="70924224"/>
    <w:rsid w:val="71343926"/>
    <w:rsid w:val="720C68CB"/>
    <w:rsid w:val="722658C4"/>
    <w:rsid w:val="72387C5E"/>
    <w:rsid w:val="725A0EB5"/>
    <w:rsid w:val="732D06C2"/>
    <w:rsid w:val="73337D8F"/>
    <w:rsid w:val="736656DF"/>
    <w:rsid w:val="739D62D9"/>
    <w:rsid w:val="73A63C72"/>
    <w:rsid w:val="73BC5FB1"/>
    <w:rsid w:val="73C31BFC"/>
    <w:rsid w:val="73D44095"/>
    <w:rsid w:val="73D859CA"/>
    <w:rsid w:val="73E35021"/>
    <w:rsid w:val="74606F50"/>
    <w:rsid w:val="74770AF7"/>
    <w:rsid w:val="74BC1FD7"/>
    <w:rsid w:val="7516167C"/>
    <w:rsid w:val="75311DD3"/>
    <w:rsid w:val="75405E51"/>
    <w:rsid w:val="755576BE"/>
    <w:rsid w:val="7592257C"/>
    <w:rsid w:val="7597128A"/>
    <w:rsid w:val="75D500F7"/>
    <w:rsid w:val="75DC212A"/>
    <w:rsid w:val="762677D8"/>
    <w:rsid w:val="76495BE7"/>
    <w:rsid w:val="76A06A24"/>
    <w:rsid w:val="7716615F"/>
    <w:rsid w:val="77CF2542"/>
    <w:rsid w:val="77D54C3F"/>
    <w:rsid w:val="77E42C08"/>
    <w:rsid w:val="780F1A18"/>
    <w:rsid w:val="781C14E0"/>
    <w:rsid w:val="78913E69"/>
    <w:rsid w:val="78BC5D2C"/>
    <w:rsid w:val="793D2D39"/>
    <w:rsid w:val="796C5D83"/>
    <w:rsid w:val="79715779"/>
    <w:rsid w:val="7972637B"/>
    <w:rsid w:val="79E2199E"/>
    <w:rsid w:val="7A0D60B3"/>
    <w:rsid w:val="7A424900"/>
    <w:rsid w:val="7A5D31CC"/>
    <w:rsid w:val="7A763E15"/>
    <w:rsid w:val="7B315AD6"/>
    <w:rsid w:val="7B5754EB"/>
    <w:rsid w:val="7B7858D0"/>
    <w:rsid w:val="7BCF3AEC"/>
    <w:rsid w:val="7BD13338"/>
    <w:rsid w:val="7C150A17"/>
    <w:rsid w:val="7C1C76BA"/>
    <w:rsid w:val="7C24053A"/>
    <w:rsid w:val="7C345DD3"/>
    <w:rsid w:val="7C354263"/>
    <w:rsid w:val="7C37070E"/>
    <w:rsid w:val="7C4657BC"/>
    <w:rsid w:val="7C520E2E"/>
    <w:rsid w:val="7C57359C"/>
    <w:rsid w:val="7C745C30"/>
    <w:rsid w:val="7C8B518E"/>
    <w:rsid w:val="7CEC2888"/>
    <w:rsid w:val="7D51443A"/>
    <w:rsid w:val="7D6C6491"/>
    <w:rsid w:val="7D987B09"/>
    <w:rsid w:val="7DAC199D"/>
    <w:rsid w:val="7E2064CD"/>
    <w:rsid w:val="7E36157F"/>
    <w:rsid w:val="7E3E73DB"/>
    <w:rsid w:val="7E630758"/>
    <w:rsid w:val="7E9B3000"/>
    <w:rsid w:val="7EA577CF"/>
    <w:rsid w:val="7F255662"/>
    <w:rsid w:val="7F7B31C7"/>
    <w:rsid w:val="7F855E53"/>
    <w:rsid w:val="7F8A3919"/>
    <w:rsid w:val="7FB57F93"/>
    <w:rsid w:val="7FC774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sz w:val="28"/>
      <w:lang w:val="en-US" w:eastAsia="zh-CN" w:bidi="ar-SA"/>
    </w:rPr>
  </w:style>
  <w:style w:type="paragraph" w:styleId="3">
    <w:name w:val="heading 1"/>
    <w:basedOn w:val="1"/>
    <w:next w:val="1"/>
    <w:qFormat/>
    <w:uiPriority w:val="0"/>
    <w:pPr>
      <w:widowControl w:val="0"/>
      <w:autoSpaceDE/>
      <w:autoSpaceDN/>
      <w:spacing w:before="312" w:beforeLines="0" w:after="156" w:afterLines="0" w:line="800" w:lineRule="atLeast"/>
      <w:ind w:left="0" w:firstLine="0"/>
      <w:jc w:val="center"/>
      <w:outlineLvl w:val="0"/>
    </w:pPr>
    <w:rPr>
      <w:rFonts w:ascii="Times New Roman" w:eastAsia="黑体"/>
      <w:sz w:val="44"/>
    </w:rPr>
  </w:style>
  <w:style w:type="paragraph" w:styleId="4">
    <w:name w:val="heading 2"/>
    <w:basedOn w:val="1"/>
    <w:next w:val="1"/>
    <w:link w:val="214"/>
    <w:qFormat/>
    <w:uiPriority w:val="0"/>
    <w:pPr>
      <w:widowControl w:val="0"/>
      <w:autoSpaceDE/>
      <w:autoSpaceDN/>
      <w:spacing w:before="0" w:beforeLines="0" w:after="0" w:afterLines="0" w:line="360" w:lineRule="auto"/>
      <w:ind w:left="0" w:firstLine="0"/>
      <w:jc w:val="both"/>
      <w:outlineLvl w:val="1"/>
    </w:pPr>
    <w:rPr>
      <w:rFonts w:ascii="Arial" w:hAnsi="Arial"/>
      <w:b/>
      <w:sz w:val="20"/>
    </w:rPr>
  </w:style>
  <w:style w:type="paragraph" w:styleId="5">
    <w:name w:val="heading 3"/>
    <w:basedOn w:val="1"/>
    <w:next w:val="1"/>
    <w:link w:val="215"/>
    <w:qFormat/>
    <w:uiPriority w:val="0"/>
    <w:pPr>
      <w:widowControl w:val="0"/>
      <w:autoSpaceDE/>
      <w:autoSpaceDN/>
      <w:spacing w:before="260" w:beforeLines="0" w:after="260" w:afterLines="0" w:line="413" w:lineRule="auto"/>
      <w:ind w:left="0" w:firstLine="0"/>
      <w:jc w:val="center"/>
      <w:outlineLvl w:val="2"/>
    </w:pPr>
    <w:rPr>
      <w:rFonts w:ascii="Calibri" w:hAnsi="Calibri"/>
      <w:b/>
      <w:sz w:val="20"/>
    </w:rPr>
  </w:style>
  <w:style w:type="paragraph" w:styleId="6">
    <w:name w:val="heading 4"/>
    <w:basedOn w:val="1"/>
    <w:next w:val="1"/>
    <w:qFormat/>
    <w:uiPriority w:val="0"/>
    <w:pPr>
      <w:widowControl w:val="0"/>
      <w:autoSpaceDE/>
      <w:autoSpaceDN/>
      <w:spacing w:before="560" w:beforeLines="0" w:after="290" w:afterLines="0" w:line="377" w:lineRule="auto"/>
      <w:ind w:left="420" w:hanging="420"/>
      <w:jc w:val="both"/>
      <w:outlineLvl w:val="3"/>
    </w:pPr>
    <w:rPr>
      <w:rFonts w:ascii="Arial" w:eastAsia="黑体"/>
      <w:b/>
      <w:sz w:val="28"/>
    </w:rPr>
  </w:style>
  <w:style w:type="paragraph" w:styleId="7">
    <w:name w:val="heading 5"/>
    <w:basedOn w:val="1"/>
    <w:next w:val="1"/>
    <w:qFormat/>
    <w:uiPriority w:val="0"/>
    <w:pPr>
      <w:widowControl w:val="0"/>
      <w:autoSpaceDE/>
      <w:autoSpaceDN/>
      <w:spacing w:before="280" w:beforeLines="0" w:after="290" w:afterLines="0" w:line="372" w:lineRule="auto"/>
      <w:ind w:left="2551" w:hanging="850"/>
      <w:jc w:val="both"/>
      <w:outlineLvl w:val="4"/>
    </w:pPr>
    <w:rPr>
      <w:rFonts w:ascii="Times New Roman" w:eastAsia="宋体"/>
      <w:b/>
      <w:sz w:val="28"/>
    </w:rPr>
  </w:style>
  <w:style w:type="paragraph" w:styleId="8">
    <w:name w:val="heading 6"/>
    <w:basedOn w:val="1"/>
    <w:next w:val="1"/>
    <w:qFormat/>
    <w:uiPriority w:val="0"/>
    <w:pPr>
      <w:widowControl w:val="0"/>
      <w:autoSpaceDE/>
      <w:autoSpaceDN/>
      <w:spacing w:before="240" w:beforeLines="0" w:after="64" w:afterLines="0" w:line="317" w:lineRule="auto"/>
      <w:ind w:left="1152" w:hanging="1152"/>
      <w:jc w:val="both"/>
      <w:outlineLvl w:val="5"/>
    </w:pPr>
    <w:rPr>
      <w:rFonts w:ascii="Arial" w:eastAsia="黑体"/>
      <w:b/>
      <w:sz w:val="24"/>
    </w:rPr>
  </w:style>
  <w:style w:type="paragraph" w:styleId="9">
    <w:name w:val="heading 7"/>
    <w:basedOn w:val="1"/>
    <w:next w:val="1"/>
    <w:qFormat/>
    <w:uiPriority w:val="0"/>
    <w:pPr>
      <w:widowControl w:val="0"/>
      <w:autoSpaceDE/>
      <w:autoSpaceDN/>
      <w:spacing w:before="240" w:beforeLines="0" w:after="64" w:afterLines="0" w:line="317" w:lineRule="auto"/>
      <w:ind w:left="1296" w:hanging="1296"/>
      <w:jc w:val="both"/>
      <w:outlineLvl w:val="6"/>
    </w:pPr>
    <w:rPr>
      <w:rFonts w:ascii="Arial" w:eastAsia="黑体"/>
      <w:b/>
      <w:sz w:val="24"/>
    </w:rPr>
  </w:style>
  <w:style w:type="paragraph" w:styleId="10">
    <w:name w:val="heading 8"/>
    <w:basedOn w:val="1"/>
    <w:next w:val="1"/>
    <w:qFormat/>
    <w:uiPriority w:val="0"/>
    <w:pPr>
      <w:widowControl w:val="0"/>
      <w:autoSpaceDE/>
      <w:autoSpaceDN/>
      <w:spacing w:before="240" w:beforeLines="0" w:after="64" w:afterLines="0" w:line="317" w:lineRule="auto"/>
      <w:ind w:left="1440" w:hanging="1440"/>
      <w:jc w:val="both"/>
      <w:outlineLvl w:val="7"/>
    </w:pPr>
    <w:rPr>
      <w:rFonts w:ascii="Arial" w:eastAsia="黑体"/>
      <w:b/>
      <w:sz w:val="24"/>
    </w:rPr>
  </w:style>
  <w:style w:type="paragraph" w:styleId="11">
    <w:name w:val="heading 9"/>
    <w:basedOn w:val="1"/>
    <w:next w:val="1"/>
    <w:qFormat/>
    <w:uiPriority w:val="0"/>
    <w:pPr>
      <w:widowControl w:val="0"/>
      <w:autoSpaceDE/>
      <w:autoSpaceDN/>
      <w:spacing w:before="240" w:beforeLines="0" w:after="64" w:afterLines="0" w:line="317" w:lineRule="auto"/>
      <w:ind w:left="1584" w:hanging="1584"/>
      <w:jc w:val="both"/>
      <w:outlineLvl w:val="8"/>
    </w:pPr>
    <w:rPr>
      <w:rFonts w:ascii="Arial" w:eastAsia="黑体"/>
      <w:b/>
      <w:sz w:val="24"/>
    </w:rPr>
  </w:style>
  <w:style w:type="character" w:default="1" w:styleId="70">
    <w:name w:val="Default Paragraph Font"/>
    <w:uiPriority w:val="0"/>
    <w:rPr>
      <w:sz w:val="20"/>
    </w:rPr>
  </w:style>
  <w:style w:type="table" w:default="1" w:styleId="68">
    <w:name w:val="Normal Table"/>
    <w:unhideWhenUsed/>
    <w:uiPriority w:val="99"/>
    <w:tblPr>
      <w:tblStyle w:val="68"/>
      <w:tblCellMar>
        <w:top w:w="0" w:type="dxa"/>
        <w:left w:w="108" w:type="dxa"/>
        <w:bottom w:w="0" w:type="dxa"/>
        <w:right w:w="108" w:type="dxa"/>
      </w:tblCellMar>
    </w:tblPr>
  </w:style>
  <w:style w:type="paragraph" w:styleId="2">
    <w:name w:val="Body Text"/>
    <w:basedOn w:val="1"/>
    <w:next w:val="1"/>
    <w:link w:val="213"/>
    <w:uiPriority w:val="0"/>
    <w:pPr>
      <w:widowControl w:val="0"/>
      <w:autoSpaceDE/>
      <w:autoSpaceDN/>
      <w:spacing w:before="0" w:beforeLines="0" w:after="0" w:afterLines="0" w:line="240" w:lineRule="auto"/>
      <w:ind w:left="0" w:firstLine="0"/>
      <w:jc w:val="both"/>
    </w:pPr>
    <w:rPr>
      <w:sz w:val="20"/>
    </w:rPr>
  </w:style>
  <w:style w:type="paragraph" w:styleId="12">
    <w:name w:val="List 3"/>
    <w:basedOn w:val="1"/>
    <w:next w:val="13"/>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customStyle="1" w:styleId="13">
    <w:name w:val="样式3"/>
    <w:basedOn w:val="3"/>
    <w:next w:val="3"/>
    <w:uiPriority w:val="0"/>
    <w:pPr>
      <w:widowControl w:val="0"/>
      <w:autoSpaceDE/>
      <w:autoSpaceDN/>
      <w:spacing w:before="340" w:beforeLines="0" w:after="330" w:afterLines="0" w:line="576" w:lineRule="auto"/>
      <w:ind w:left="0" w:firstLine="0"/>
      <w:jc w:val="both"/>
      <w:outlineLvl w:val="0"/>
    </w:pPr>
    <w:rPr>
      <w:rFonts w:ascii="Times New Roman" w:eastAsia="黑体"/>
      <w:b/>
      <w:sz w:val="44"/>
    </w:rPr>
  </w:style>
  <w:style w:type="paragraph" w:styleId="14">
    <w:name w:val="toc 7"/>
    <w:next w:val="1"/>
    <w:uiPriority w:val="0"/>
    <w:pPr>
      <w:wordWrap w:val="0"/>
      <w:ind w:left="2125"/>
      <w:jc w:val="both"/>
    </w:pPr>
    <w:rPr>
      <w:sz w:val="21"/>
      <w:lang w:val="en-US" w:eastAsia="zh-CN" w:bidi="ar-SA"/>
    </w:rPr>
  </w:style>
  <w:style w:type="paragraph" w:styleId="15">
    <w:name w:val="List Number 2"/>
    <w:basedOn w:val="1"/>
    <w:next w:val="1"/>
    <w:uiPriority w:val="0"/>
    <w:pPr>
      <w:widowControl w:val="0"/>
      <w:autoSpaceDE/>
      <w:autoSpaceDN/>
      <w:spacing w:before="0" w:beforeLines="0" w:after="0" w:afterLines="0" w:line="360" w:lineRule="auto"/>
      <w:ind w:left="780" w:hanging="360"/>
      <w:jc w:val="both"/>
    </w:pPr>
    <w:rPr>
      <w:rFonts w:ascii="Times New Roman" w:eastAsia="宋体"/>
      <w:sz w:val="24"/>
    </w:rPr>
  </w:style>
  <w:style w:type="paragraph" w:styleId="16">
    <w:name w:val="List Bullet 4"/>
    <w:basedOn w:val="1"/>
    <w:next w:val="17"/>
    <w:uiPriority w:val="0"/>
    <w:pPr>
      <w:widowControl/>
      <w:autoSpaceDE/>
      <w:autoSpaceDN/>
      <w:spacing w:before="120" w:beforeLines="0" w:after="0" w:afterLines="0" w:line="280" w:lineRule="atLeast"/>
      <w:ind w:left="1418" w:hanging="284"/>
    </w:pPr>
    <w:rPr>
      <w:rFonts w:ascii="宋体" w:eastAsia="宋体"/>
      <w:sz w:val="22"/>
    </w:rPr>
  </w:style>
  <w:style w:type="paragraph" w:styleId="17">
    <w:name w:val="List Continue"/>
    <w:basedOn w:val="1"/>
    <w:next w:val="1"/>
    <w:uiPriority w:val="0"/>
    <w:pPr>
      <w:widowControl w:val="0"/>
      <w:autoSpaceDE/>
      <w:autoSpaceDN/>
      <w:spacing w:before="0" w:beforeLines="0" w:after="120" w:afterLines="0" w:line="360" w:lineRule="auto"/>
      <w:ind w:left="420" w:firstLine="0"/>
      <w:jc w:val="both"/>
    </w:pPr>
    <w:rPr>
      <w:rFonts w:ascii="Times New Roman" w:eastAsia="宋体"/>
      <w:sz w:val="24"/>
    </w:rPr>
  </w:style>
  <w:style w:type="paragraph" w:styleId="18">
    <w:name w:val="Normal Indent"/>
    <w:basedOn w:val="1"/>
    <w:next w:val="1"/>
    <w:uiPriority w:val="0"/>
    <w:pPr>
      <w:wordWrap w:val="0"/>
      <w:ind w:left="3400"/>
      <w:jc w:val="both"/>
    </w:pPr>
    <w:rPr>
      <w:sz w:val="21"/>
      <w:lang w:val="en-US" w:eastAsia="zh-CN" w:bidi="ar-SA"/>
    </w:rPr>
  </w:style>
  <w:style w:type="paragraph" w:styleId="19">
    <w:name w:val="caption"/>
    <w:basedOn w:val="1"/>
    <w:next w:val="1"/>
    <w:qFormat/>
    <w:uiPriority w:val="0"/>
    <w:pPr>
      <w:widowControl/>
      <w:autoSpaceDE/>
      <w:autoSpaceDN/>
      <w:spacing w:before="0" w:beforeLines="0" w:after="0" w:afterLines="0" w:line="280" w:lineRule="atLeast"/>
      <w:ind w:left="0" w:firstLine="0"/>
    </w:pPr>
    <w:rPr>
      <w:rFonts w:ascii="Times New Roman" w:eastAsia="PMingLiU"/>
      <w:b/>
      <w:sz w:val="24"/>
    </w:rPr>
  </w:style>
  <w:style w:type="paragraph" w:styleId="20">
    <w:name w:val="Document Map"/>
    <w:basedOn w:val="1"/>
    <w:next w:val="1"/>
    <w:uiPriority w:val="0"/>
    <w:pPr>
      <w:widowControl w:val="0"/>
      <w:shd w:val="clear" w:color="000000" w:fill="000080"/>
      <w:autoSpaceDE/>
      <w:autoSpaceDN/>
      <w:spacing w:before="0" w:beforeLines="0" w:after="0" w:afterLines="0" w:line="240" w:lineRule="auto"/>
      <w:ind w:left="0" w:firstLine="0"/>
      <w:jc w:val="both"/>
    </w:pPr>
    <w:rPr>
      <w:rFonts w:ascii="Times New Roman" w:eastAsia="宋体"/>
      <w:sz w:val="28"/>
    </w:rPr>
  </w:style>
  <w:style w:type="paragraph" w:styleId="21">
    <w:name w:val="toa heading"/>
    <w:basedOn w:val="1"/>
    <w:next w:val="1"/>
    <w:uiPriority w:val="0"/>
    <w:pPr>
      <w:widowControl w:val="0"/>
      <w:autoSpaceDE/>
      <w:autoSpaceDN/>
      <w:spacing w:before="120" w:beforeLines="0" w:after="0" w:afterLines="0" w:line="240" w:lineRule="auto"/>
      <w:ind w:left="0" w:firstLine="0"/>
      <w:jc w:val="both"/>
    </w:pPr>
    <w:rPr>
      <w:rFonts w:ascii="Arial" w:eastAsia="宋体"/>
      <w:sz w:val="24"/>
    </w:rPr>
  </w:style>
  <w:style w:type="paragraph" w:styleId="22">
    <w:name w:val="annotation text"/>
    <w:basedOn w:val="1"/>
    <w:next w:val="21"/>
    <w:uiPriority w:val="0"/>
    <w:pPr>
      <w:widowControl/>
      <w:autoSpaceDE/>
      <w:autoSpaceDN/>
      <w:spacing w:before="0" w:beforeLines="0" w:after="0" w:afterLines="0" w:line="280" w:lineRule="atLeast"/>
      <w:ind w:left="0" w:firstLine="0"/>
    </w:pPr>
    <w:rPr>
      <w:rFonts w:ascii="Times New Roman" w:eastAsia="PMingLiU"/>
      <w:sz w:val="24"/>
    </w:rPr>
  </w:style>
  <w:style w:type="paragraph" w:styleId="23">
    <w:name w:val="Body Text 3"/>
    <w:basedOn w:val="1"/>
    <w:next w:val="24"/>
    <w:uiPriority w:val="0"/>
    <w:pPr>
      <w:widowControl w:val="0"/>
      <w:autoSpaceDE/>
      <w:autoSpaceDN/>
      <w:spacing w:before="0" w:beforeLines="0" w:after="120" w:afterLines="0" w:line="360" w:lineRule="auto"/>
      <w:ind w:left="0" w:firstLine="0"/>
      <w:jc w:val="both"/>
    </w:pPr>
    <w:rPr>
      <w:rFonts w:ascii="Times New Roman" w:eastAsia="宋体"/>
      <w:sz w:val="16"/>
    </w:rPr>
  </w:style>
  <w:style w:type="paragraph" w:customStyle="1" w:styleId="24">
    <w:name w:val=" Char Char Char Char Char Char1 Char"/>
    <w:basedOn w:val="1"/>
    <w:next w:val="25"/>
    <w:uiPriority w:val="0"/>
    <w:pPr>
      <w:widowControl/>
      <w:autoSpaceDE/>
      <w:autoSpaceDN/>
      <w:spacing w:before="0" w:beforeLines="0" w:after="160" w:afterLines="0" w:line="240" w:lineRule="exact"/>
      <w:ind w:left="0" w:firstLine="0"/>
    </w:pPr>
    <w:rPr>
      <w:rFonts w:ascii="Verdana" w:eastAsia="宋体"/>
      <w:sz w:val="21"/>
    </w:rPr>
  </w:style>
  <w:style w:type="paragraph" w:customStyle="1" w:styleId="25">
    <w:name w:val="Item Step"/>
    <w:next w:val="1"/>
    <w:uiPriority w:val="0"/>
    <w:pPr>
      <w:ind w:left="1644" w:hanging="510"/>
      <w:outlineLvl w:val="4"/>
    </w:pPr>
    <w:rPr>
      <w:rFonts w:ascii="Arial"/>
      <w:sz w:val="21"/>
      <w:lang w:val="en-US" w:eastAsia="zh-CN" w:bidi="ar-SA"/>
    </w:rPr>
  </w:style>
  <w:style w:type="paragraph" w:styleId="26">
    <w:name w:val="List Bullet 3"/>
    <w:basedOn w:val="1"/>
    <w:next w:val="27"/>
    <w:uiPriority w:val="0"/>
    <w:pPr>
      <w:widowControl w:val="0"/>
      <w:autoSpaceDE/>
      <w:autoSpaceDN/>
      <w:spacing w:before="0" w:beforeLines="0" w:after="0" w:afterLines="0" w:line="360" w:lineRule="auto"/>
      <w:ind w:left="1200" w:hanging="360"/>
      <w:jc w:val="both"/>
    </w:pPr>
    <w:rPr>
      <w:rFonts w:ascii="Times New Roman" w:eastAsia="宋体"/>
      <w:sz w:val="24"/>
    </w:rPr>
  </w:style>
  <w:style w:type="paragraph" w:styleId="27">
    <w:name w:val="toc 1"/>
    <w:basedOn w:val="1"/>
    <w:next w:val="1"/>
    <w:uiPriority w:val="0"/>
    <w:pPr>
      <w:widowControl w:val="0"/>
      <w:autoSpaceDE/>
      <w:autoSpaceDN/>
      <w:spacing w:before="0" w:beforeLines="0" w:after="0" w:afterLines="0" w:line="320" w:lineRule="exact"/>
      <w:ind w:left="0" w:firstLine="280"/>
      <w:jc w:val="both"/>
    </w:pPr>
    <w:rPr>
      <w:rFonts w:ascii="Times New Roman" w:eastAsia="宋体"/>
      <w:sz w:val="28"/>
    </w:rPr>
  </w:style>
  <w:style w:type="paragraph" w:styleId="28">
    <w:name w:val="Body Text Indent"/>
    <w:basedOn w:val="1"/>
    <w:next w:val="29"/>
    <w:link w:val="216"/>
    <w:uiPriority w:val="0"/>
    <w:pPr>
      <w:widowControl w:val="0"/>
      <w:autoSpaceDE/>
      <w:autoSpaceDN/>
      <w:spacing w:before="0" w:beforeLines="0" w:after="0" w:afterLines="0" w:line="700" w:lineRule="exact"/>
      <w:ind w:left="960" w:firstLine="0"/>
      <w:jc w:val="both"/>
    </w:pPr>
    <w:rPr>
      <w:sz w:val="20"/>
    </w:rPr>
  </w:style>
  <w:style w:type="paragraph" w:customStyle="1" w:styleId="29">
    <w:name w:val="目录 71"/>
    <w:basedOn w:val="1"/>
    <w:next w:val="1"/>
    <w:uiPriority w:val="0"/>
    <w:pPr>
      <w:widowControl w:val="0"/>
      <w:autoSpaceDE/>
      <w:autoSpaceDN/>
      <w:spacing w:before="0" w:beforeLines="0" w:after="0" w:afterLines="0" w:line="240" w:lineRule="auto"/>
      <w:ind w:left="2520" w:firstLine="0"/>
      <w:jc w:val="both"/>
    </w:pPr>
    <w:rPr>
      <w:rFonts w:ascii="Times New Roman" w:eastAsia="宋体"/>
      <w:sz w:val="28"/>
    </w:rPr>
  </w:style>
  <w:style w:type="paragraph" w:styleId="30">
    <w:name w:val="List Number 3"/>
    <w:basedOn w:val="1"/>
    <w:next w:val="31"/>
    <w:uiPriority w:val="0"/>
    <w:pPr>
      <w:widowControl w:val="0"/>
      <w:autoSpaceDE/>
      <w:autoSpaceDN/>
      <w:spacing w:before="0" w:beforeLines="0" w:after="0" w:afterLines="0" w:line="360" w:lineRule="auto"/>
      <w:ind w:left="2120" w:hanging="720"/>
      <w:jc w:val="both"/>
    </w:pPr>
    <w:rPr>
      <w:rFonts w:ascii="Times New Roman" w:eastAsia="宋体"/>
      <w:sz w:val="24"/>
    </w:rPr>
  </w:style>
  <w:style w:type="paragraph" w:customStyle="1" w:styleId="31">
    <w:name w:val="Char"/>
    <w:basedOn w:val="1"/>
    <w:next w:val="1"/>
    <w:uiPriority w:val="0"/>
    <w:pPr>
      <w:widowControl/>
      <w:autoSpaceDE/>
      <w:autoSpaceDN/>
      <w:spacing w:before="0" w:beforeLines="0" w:after="0" w:afterLines="0" w:line="400" w:lineRule="exact"/>
      <w:ind w:left="0" w:firstLine="0"/>
      <w:jc w:val="center"/>
    </w:pPr>
    <w:rPr>
      <w:rFonts w:ascii="Times New Roman" w:eastAsia="宋体"/>
      <w:sz w:val="24"/>
    </w:rPr>
  </w:style>
  <w:style w:type="paragraph" w:styleId="32">
    <w:name w:val="List 2"/>
    <w:basedOn w:val="1"/>
    <w:next w:val="33"/>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customStyle="1" w:styleId="33">
    <w:name w:val="Char1 Char Char Char"/>
    <w:basedOn w:val="1"/>
    <w:next w:val="1"/>
    <w:uiPriority w:val="0"/>
    <w:pPr>
      <w:widowControl w:val="0"/>
      <w:autoSpaceDE/>
      <w:autoSpaceDN/>
      <w:spacing w:before="0" w:beforeLines="0" w:after="0" w:afterLines="0" w:line="240" w:lineRule="auto"/>
      <w:ind w:left="0" w:firstLine="0"/>
      <w:jc w:val="both"/>
    </w:pPr>
    <w:rPr>
      <w:rFonts w:ascii="Tahoma" w:eastAsia="宋体"/>
      <w:sz w:val="21"/>
    </w:rPr>
  </w:style>
  <w:style w:type="paragraph" w:styleId="34">
    <w:name w:val="List Bullet 2"/>
    <w:basedOn w:val="1"/>
    <w:next w:val="35"/>
    <w:uiPriority w:val="0"/>
    <w:pPr>
      <w:widowControl w:val="0"/>
      <w:autoSpaceDE/>
      <w:autoSpaceDN/>
      <w:spacing w:before="0" w:beforeLines="0" w:after="0" w:afterLines="0" w:line="360" w:lineRule="auto"/>
      <w:ind w:left="780" w:hanging="360"/>
      <w:jc w:val="both"/>
    </w:pPr>
    <w:rPr>
      <w:rFonts w:ascii="Times New Roman" w:eastAsia="宋体"/>
      <w:sz w:val="24"/>
    </w:rPr>
  </w:style>
  <w:style w:type="paragraph" w:styleId="35">
    <w:name w:val="List Continue 2"/>
    <w:basedOn w:val="1"/>
    <w:next w:val="1"/>
    <w:uiPriority w:val="0"/>
    <w:pPr>
      <w:widowControl w:val="0"/>
      <w:autoSpaceDE/>
      <w:autoSpaceDN/>
      <w:spacing w:before="0" w:beforeLines="0" w:after="120" w:afterLines="0" w:line="360" w:lineRule="auto"/>
      <w:ind w:left="840" w:firstLine="0"/>
      <w:jc w:val="both"/>
    </w:pPr>
    <w:rPr>
      <w:rFonts w:ascii="Times New Roman" w:eastAsia="宋体"/>
      <w:sz w:val="24"/>
    </w:rPr>
  </w:style>
  <w:style w:type="paragraph" w:styleId="36">
    <w:name w:val="toc 5"/>
    <w:next w:val="1"/>
    <w:uiPriority w:val="0"/>
    <w:pPr>
      <w:wordWrap w:val="0"/>
      <w:ind w:left="1275"/>
      <w:jc w:val="both"/>
    </w:pPr>
    <w:rPr>
      <w:sz w:val="21"/>
      <w:lang w:val="en-US" w:eastAsia="zh-CN" w:bidi="ar-SA"/>
    </w:rPr>
  </w:style>
  <w:style w:type="paragraph" w:styleId="37">
    <w:name w:val="toc 3"/>
    <w:next w:val="1"/>
    <w:uiPriority w:val="0"/>
    <w:pPr>
      <w:wordWrap w:val="0"/>
      <w:ind w:left="425"/>
      <w:jc w:val="both"/>
    </w:pPr>
    <w:rPr>
      <w:sz w:val="21"/>
      <w:lang w:val="en-US" w:eastAsia="zh-CN" w:bidi="ar-SA"/>
    </w:rPr>
  </w:style>
  <w:style w:type="paragraph" w:styleId="38">
    <w:name w:val="Plain Text"/>
    <w:basedOn w:val="1"/>
    <w:next w:val="20"/>
    <w:uiPriority w:val="0"/>
    <w:pPr>
      <w:widowControl w:val="0"/>
      <w:autoSpaceDE/>
      <w:autoSpaceDN/>
      <w:spacing w:before="0" w:beforeLines="0" w:after="0" w:afterLines="0" w:line="360" w:lineRule="auto"/>
      <w:ind w:left="0" w:firstLine="0"/>
      <w:jc w:val="both"/>
    </w:pPr>
    <w:rPr>
      <w:rFonts w:ascii="宋体" w:eastAsia="宋体"/>
      <w:sz w:val="21"/>
    </w:rPr>
  </w:style>
  <w:style w:type="paragraph" w:styleId="39">
    <w:name w:val="toc 8"/>
    <w:next w:val="1"/>
    <w:uiPriority w:val="0"/>
    <w:pPr>
      <w:wordWrap w:val="0"/>
      <w:ind w:left="2550"/>
      <w:jc w:val="both"/>
    </w:pPr>
    <w:rPr>
      <w:sz w:val="21"/>
      <w:lang w:val="en-US" w:eastAsia="zh-CN" w:bidi="ar-SA"/>
    </w:rPr>
  </w:style>
  <w:style w:type="paragraph" w:styleId="40">
    <w:name w:val="Date"/>
    <w:basedOn w:val="1"/>
    <w:next w:val="1"/>
    <w:uiPriority w:val="0"/>
    <w:pPr>
      <w:widowControl w:val="0"/>
      <w:autoSpaceDE/>
      <w:autoSpaceDN/>
      <w:spacing w:before="0" w:beforeLines="0" w:after="0" w:afterLines="0" w:line="240" w:lineRule="auto"/>
      <w:ind w:left="0" w:firstLine="0"/>
      <w:jc w:val="both"/>
    </w:pPr>
    <w:rPr>
      <w:rFonts w:ascii="Times New Roman" w:eastAsia="宋体"/>
      <w:sz w:val="28"/>
    </w:rPr>
  </w:style>
  <w:style w:type="paragraph" w:styleId="41">
    <w:name w:val="Body Text Indent 2"/>
    <w:basedOn w:val="1"/>
    <w:next w:val="34"/>
    <w:uiPriority w:val="0"/>
    <w:pPr>
      <w:widowControl w:val="0"/>
      <w:autoSpaceDE/>
      <w:autoSpaceDN/>
      <w:spacing w:before="0" w:beforeLines="0" w:after="0" w:afterLines="0" w:line="440" w:lineRule="atLeast"/>
      <w:ind w:left="0" w:firstLine="570"/>
      <w:jc w:val="both"/>
    </w:pPr>
    <w:rPr>
      <w:rFonts w:ascii="宋体" w:eastAsia="宋体"/>
      <w:sz w:val="28"/>
    </w:rPr>
  </w:style>
  <w:style w:type="paragraph" w:styleId="42">
    <w:name w:val="Balloon Text"/>
    <w:basedOn w:val="1"/>
    <w:next w:val="1"/>
    <w:uiPriority w:val="0"/>
    <w:pPr>
      <w:widowControl w:val="0"/>
      <w:autoSpaceDE/>
      <w:autoSpaceDN/>
      <w:spacing w:before="0" w:beforeLines="0" w:after="0" w:afterLines="0" w:line="240" w:lineRule="auto"/>
      <w:ind w:left="0" w:firstLine="0"/>
      <w:jc w:val="both"/>
    </w:pPr>
    <w:rPr>
      <w:rFonts w:ascii="Times New Roman" w:eastAsia="宋体"/>
      <w:sz w:val="18"/>
    </w:rPr>
  </w:style>
  <w:style w:type="paragraph" w:styleId="43">
    <w:name w:val="footer"/>
    <w:basedOn w:val="1"/>
    <w:uiPriority w:val="0"/>
    <w:pPr>
      <w:widowControl w:val="0"/>
      <w:autoSpaceDE/>
      <w:autoSpaceDN/>
      <w:spacing w:before="0" w:beforeLines="0" w:after="0" w:afterLines="0" w:line="240" w:lineRule="auto"/>
      <w:ind w:left="0" w:firstLine="0"/>
    </w:pPr>
    <w:rPr>
      <w:rFonts w:ascii="Times New Roman" w:eastAsia="宋体"/>
      <w:sz w:val="18"/>
    </w:rPr>
  </w:style>
  <w:style w:type="paragraph" w:styleId="44">
    <w:name w:val="header"/>
    <w:basedOn w:val="1"/>
    <w:next w:val="1"/>
    <w:uiPriority w:val="0"/>
    <w:pPr>
      <w:widowControl w:val="0"/>
      <w:autoSpaceDE/>
      <w:autoSpaceDN/>
      <w:spacing w:before="0" w:beforeLines="0" w:after="0" w:afterLines="0" w:line="240" w:lineRule="auto"/>
      <w:ind w:left="0" w:firstLine="0"/>
      <w:jc w:val="center"/>
    </w:pPr>
    <w:rPr>
      <w:rFonts w:ascii="Times New Roman" w:eastAsia="宋体"/>
      <w:sz w:val="18"/>
    </w:rPr>
  </w:style>
  <w:style w:type="paragraph" w:styleId="45">
    <w:name w:val="List Continue 4"/>
    <w:basedOn w:val="1"/>
    <w:next w:val="30"/>
    <w:uiPriority w:val="0"/>
    <w:pPr>
      <w:widowControl w:val="0"/>
      <w:autoSpaceDE/>
      <w:autoSpaceDN/>
      <w:spacing w:before="0" w:beforeLines="0" w:after="120" w:afterLines="0" w:line="360" w:lineRule="auto"/>
      <w:ind w:left="1680" w:firstLine="0"/>
      <w:jc w:val="both"/>
    </w:pPr>
    <w:rPr>
      <w:rFonts w:ascii="Times New Roman" w:eastAsia="宋体"/>
      <w:sz w:val="24"/>
    </w:rPr>
  </w:style>
  <w:style w:type="paragraph" w:styleId="46">
    <w:name w:val="toc 4"/>
    <w:next w:val="1"/>
    <w:uiPriority w:val="0"/>
    <w:pPr>
      <w:wordWrap w:val="0"/>
      <w:ind w:left="850"/>
      <w:jc w:val="both"/>
    </w:pPr>
    <w:rPr>
      <w:sz w:val="21"/>
      <w:lang w:val="en-US" w:eastAsia="zh-CN" w:bidi="ar-SA"/>
    </w:rPr>
  </w:style>
  <w:style w:type="paragraph" w:styleId="47">
    <w:name w:val="Subtitle"/>
    <w:next w:val="1"/>
    <w:qFormat/>
    <w:uiPriority w:val="0"/>
    <w:pPr>
      <w:wordWrap w:val="0"/>
      <w:spacing w:after="60"/>
      <w:jc w:val="center"/>
    </w:pPr>
    <w:rPr>
      <w:sz w:val="24"/>
      <w:lang w:val="en-US" w:eastAsia="zh-CN" w:bidi="ar-SA"/>
    </w:rPr>
  </w:style>
  <w:style w:type="paragraph" w:styleId="48">
    <w:name w:val="footnote text"/>
    <w:basedOn w:val="1"/>
    <w:next w:val="38"/>
    <w:uiPriority w:val="0"/>
    <w:pPr>
      <w:widowControl w:val="0"/>
      <w:autoSpaceDE/>
      <w:autoSpaceDN/>
      <w:spacing w:before="0" w:beforeLines="0" w:after="0" w:afterLines="0" w:line="360" w:lineRule="auto"/>
      <w:ind w:left="0" w:firstLine="0"/>
      <w:jc w:val="both"/>
    </w:pPr>
    <w:rPr>
      <w:rFonts w:ascii="Times New Roman" w:eastAsia="宋体"/>
      <w:sz w:val="18"/>
    </w:rPr>
  </w:style>
  <w:style w:type="paragraph" w:styleId="49">
    <w:name w:val="toc 6"/>
    <w:next w:val="1"/>
    <w:uiPriority w:val="0"/>
    <w:pPr>
      <w:wordWrap w:val="0"/>
      <w:ind w:left="1700"/>
      <w:jc w:val="both"/>
    </w:pPr>
    <w:rPr>
      <w:sz w:val="21"/>
      <w:lang w:val="en-US" w:eastAsia="zh-CN" w:bidi="ar-SA"/>
    </w:rPr>
  </w:style>
  <w:style w:type="paragraph" w:styleId="50">
    <w:name w:val="List 5"/>
    <w:basedOn w:val="1"/>
    <w:next w:val="51"/>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customStyle="1" w:styleId="51">
    <w:name w:val="目录 31"/>
    <w:basedOn w:val="1"/>
    <w:next w:val="1"/>
    <w:uiPriority w:val="0"/>
    <w:pPr>
      <w:widowControl w:val="0"/>
      <w:autoSpaceDE/>
      <w:autoSpaceDN/>
      <w:spacing w:before="0" w:beforeLines="0" w:after="0" w:afterLines="0" w:line="240" w:lineRule="auto"/>
      <w:ind w:left="840" w:firstLine="0"/>
      <w:jc w:val="both"/>
    </w:pPr>
    <w:rPr>
      <w:rFonts w:ascii="Times New Roman" w:eastAsia="宋体"/>
      <w:sz w:val="28"/>
    </w:rPr>
  </w:style>
  <w:style w:type="paragraph" w:styleId="52">
    <w:name w:val="Body Text Indent 3"/>
    <w:basedOn w:val="1"/>
    <w:next w:val="1"/>
    <w:uiPriority w:val="0"/>
    <w:pPr>
      <w:widowControl w:val="0"/>
      <w:autoSpaceDE/>
      <w:autoSpaceDN/>
      <w:spacing w:before="0" w:beforeLines="0" w:after="0" w:afterLines="0" w:line="360" w:lineRule="auto"/>
      <w:ind w:left="0" w:firstLine="632"/>
      <w:jc w:val="both"/>
    </w:pPr>
    <w:rPr>
      <w:rFonts w:ascii="黑体" w:eastAsia="黑体"/>
      <w:sz w:val="28"/>
    </w:rPr>
  </w:style>
  <w:style w:type="paragraph" w:styleId="53">
    <w:name w:val="table of figures"/>
    <w:basedOn w:val="1"/>
    <w:next w:val="1"/>
    <w:uiPriority w:val="0"/>
    <w:pPr>
      <w:widowControl w:val="0"/>
      <w:autoSpaceDE/>
      <w:autoSpaceDN/>
      <w:spacing w:before="0" w:beforeLines="0" w:after="0" w:afterLines="0" w:line="360" w:lineRule="auto"/>
      <w:ind w:left="400" w:hanging="400"/>
      <w:jc w:val="both"/>
    </w:pPr>
    <w:rPr>
      <w:rFonts w:ascii="Times New Roman" w:eastAsia="宋体"/>
      <w:sz w:val="24"/>
    </w:rPr>
  </w:style>
  <w:style w:type="paragraph" w:styleId="54">
    <w:name w:val="toc 2"/>
    <w:next w:val="1"/>
    <w:uiPriority w:val="0"/>
    <w:pPr>
      <w:wordWrap w:val="0"/>
      <w:jc w:val="both"/>
    </w:pPr>
    <w:rPr>
      <w:sz w:val="21"/>
      <w:lang w:val="en-US" w:eastAsia="zh-CN" w:bidi="ar-SA"/>
    </w:rPr>
  </w:style>
  <w:style w:type="paragraph" w:styleId="55">
    <w:name w:val="toc 9"/>
    <w:next w:val="1"/>
    <w:uiPriority w:val="0"/>
    <w:pPr>
      <w:wordWrap w:val="0"/>
      <w:ind w:left="2975"/>
      <w:jc w:val="both"/>
    </w:pPr>
    <w:rPr>
      <w:sz w:val="21"/>
      <w:lang w:val="en-US" w:eastAsia="zh-CN" w:bidi="ar-SA"/>
    </w:rPr>
  </w:style>
  <w:style w:type="paragraph" w:styleId="56">
    <w:name w:val="Body Text 2"/>
    <w:basedOn w:val="1"/>
    <w:next w:val="1"/>
    <w:uiPriority w:val="0"/>
    <w:pPr>
      <w:widowControl w:val="0"/>
      <w:autoSpaceDE/>
      <w:autoSpaceDN/>
      <w:spacing w:before="0" w:beforeLines="0" w:after="120" w:afterLines="0" w:line="480" w:lineRule="auto"/>
      <w:ind w:left="0" w:firstLine="0"/>
      <w:jc w:val="both"/>
    </w:pPr>
    <w:rPr>
      <w:rFonts w:ascii="Times New Roman" w:eastAsia="宋体"/>
      <w:sz w:val="24"/>
    </w:rPr>
  </w:style>
  <w:style w:type="paragraph" w:styleId="57">
    <w:name w:val="List 4"/>
    <w:basedOn w:val="1"/>
    <w:next w:val="44"/>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58">
    <w:name w:val="HTML Preformatted"/>
    <w:basedOn w:val="1"/>
    <w:qFormat/>
    <w:uiPriority w:val="0"/>
    <w:rPr>
      <w:rFonts w:ascii="Courier New" w:hAnsi="Courier New" w:cs="Courier New"/>
      <w:sz w:val="20"/>
      <w:szCs w:val="20"/>
    </w:rPr>
  </w:style>
  <w:style w:type="paragraph" w:styleId="59">
    <w:name w:val="Normal (Web)"/>
    <w:basedOn w:val="1"/>
    <w:next w:val="52"/>
    <w:uiPriority w:val="0"/>
    <w:pPr>
      <w:widowControl/>
      <w:autoSpaceDE/>
      <w:autoSpaceDN/>
      <w:spacing w:before="280" w:beforeLines="0" w:after="280" w:afterLines="0" w:line="240" w:lineRule="auto"/>
      <w:ind w:left="0" w:firstLine="0"/>
    </w:pPr>
    <w:rPr>
      <w:rFonts w:ascii="Arial Unicode MS" w:eastAsia="Arial Unicode MS"/>
      <w:sz w:val="24"/>
    </w:rPr>
  </w:style>
  <w:style w:type="paragraph" w:styleId="60">
    <w:name w:val="List Continue 3"/>
    <w:basedOn w:val="1"/>
    <w:next w:val="1"/>
    <w:uiPriority w:val="0"/>
    <w:pPr>
      <w:widowControl w:val="0"/>
      <w:autoSpaceDE/>
      <w:autoSpaceDN/>
      <w:spacing w:before="0" w:beforeLines="0" w:after="120" w:afterLines="0" w:line="360" w:lineRule="auto"/>
      <w:ind w:left="1260" w:firstLine="0"/>
      <w:jc w:val="both"/>
    </w:pPr>
    <w:rPr>
      <w:rFonts w:ascii="Times New Roman" w:eastAsia="宋体"/>
      <w:sz w:val="24"/>
    </w:rPr>
  </w:style>
  <w:style w:type="paragraph" w:styleId="61">
    <w:name w:val="index 1"/>
    <w:basedOn w:val="1"/>
    <w:next w:val="1"/>
    <w:uiPriority w:val="0"/>
    <w:pPr>
      <w:widowControl w:val="0"/>
      <w:autoSpaceDE/>
      <w:autoSpaceDN/>
      <w:spacing w:before="0" w:beforeLines="0" w:after="0" w:afterLines="0" w:line="240" w:lineRule="atLeast"/>
      <w:ind w:left="0" w:firstLine="0"/>
      <w:jc w:val="both"/>
    </w:pPr>
    <w:rPr>
      <w:rFonts w:ascii="宋体" w:eastAsia="宋体"/>
      <w:sz w:val="21"/>
    </w:rPr>
  </w:style>
  <w:style w:type="paragraph" w:styleId="62">
    <w:name w:val="annotation subject"/>
    <w:next w:val="42"/>
    <w:uiPriority w:val="0"/>
    <w:pPr>
      <w:widowControl w:val="0"/>
    </w:pPr>
    <w:rPr>
      <w:b/>
      <w:sz w:val="21"/>
      <w:lang w:val="en-US" w:eastAsia="zh-CN" w:bidi="ar-SA"/>
    </w:rPr>
  </w:style>
  <w:style w:type="paragraph" w:styleId="63">
    <w:name w:val="Body Text First Indent"/>
    <w:basedOn w:val="1"/>
    <w:next w:val="64"/>
    <w:uiPriority w:val="0"/>
    <w:pPr>
      <w:widowControl w:val="0"/>
      <w:autoSpaceDE/>
      <w:autoSpaceDN/>
      <w:spacing w:before="0" w:beforeLines="0" w:after="0" w:afterLines="0" w:line="360" w:lineRule="auto"/>
      <w:ind w:left="0" w:firstLine="420"/>
      <w:jc w:val="both"/>
    </w:pPr>
    <w:rPr>
      <w:rFonts w:ascii="宋体" w:eastAsia="宋体"/>
      <w:sz w:val="24"/>
    </w:rPr>
  </w:style>
  <w:style w:type="paragraph" w:customStyle="1" w:styleId="64">
    <w:name w:val="正文缩进1"/>
    <w:basedOn w:val="1"/>
    <w:next w:val="65"/>
    <w:uiPriority w:val="0"/>
    <w:pPr>
      <w:widowControl w:val="0"/>
      <w:autoSpaceDE/>
      <w:autoSpaceDN/>
      <w:spacing w:before="0" w:beforeLines="0" w:after="0" w:afterLines="0" w:line="360" w:lineRule="auto"/>
      <w:ind w:left="0" w:firstLine="420"/>
      <w:jc w:val="both"/>
    </w:pPr>
    <w:rPr>
      <w:rFonts w:ascii="Times New Roman" w:eastAsia="宋体"/>
      <w:sz w:val="24"/>
    </w:rPr>
  </w:style>
  <w:style w:type="paragraph" w:customStyle="1" w:styleId="65">
    <w:name w:val="目录 21"/>
    <w:basedOn w:val="1"/>
    <w:next w:val="1"/>
    <w:uiPriority w:val="0"/>
    <w:pPr>
      <w:widowControl w:val="0"/>
      <w:autoSpaceDE/>
      <w:autoSpaceDN/>
      <w:spacing w:before="0" w:beforeLines="0" w:after="0" w:afterLines="0" w:line="440" w:lineRule="exact"/>
      <w:ind w:left="280" w:firstLine="0"/>
      <w:jc w:val="both"/>
    </w:pPr>
    <w:rPr>
      <w:rFonts w:ascii="Times New Roman" w:eastAsia="宋体"/>
      <w:sz w:val="28"/>
    </w:rPr>
  </w:style>
  <w:style w:type="paragraph" w:styleId="66">
    <w:name w:val="Body Text First Indent 2"/>
    <w:next w:val="67"/>
    <w:uiPriority w:val="0"/>
    <w:pPr>
      <w:widowControl w:val="0"/>
      <w:spacing w:after="120"/>
      <w:ind w:left="420" w:firstLine="420"/>
      <w:jc w:val="both"/>
    </w:pPr>
    <w:rPr>
      <w:sz w:val="21"/>
      <w:lang w:val="en-US" w:eastAsia="zh-CN" w:bidi="ar-SA"/>
    </w:rPr>
  </w:style>
  <w:style w:type="paragraph" w:customStyle="1" w:styleId="67">
    <w:name w:val="目录 61"/>
    <w:basedOn w:val="1"/>
    <w:next w:val="1"/>
    <w:uiPriority w:val="0"/>
    <w:pPr>
      <w:widowControl w:val="0"/>
      <w:autoSpaceDE/>
      <w:autoSpaceDN/>
      <w:spacing w:before="0" w:beforeLines="0" w:after="0" w:afterLines="0" w:line="240" w:lineRule="auto"/>
      <w:ind w:left="2100" w:firstLine="0"/>
      <w:jc w:val="both"/>
    </w:pPr>
    <w:rPr>
      <w:rFonts w:ascii="Times New Roman" w:eastAsia="宋体"/>
      <w:sz w:val="28"/>
    </w:rPr>
  </w:style>
  <w:style w:type="table" w:styleId="69">
    <w:name w:val="Table Grid"/>
    <w:basedOn w:val="68"/>
    <w:unhideWhenUsed/>
    <w:uiPriority w:val="99"/>
    <w:pPr>
      <w:widowControl w:val="0"/>
      <w:jc w:val="both"/>
    </w:pPr>
    <w:tblPr>
      <w:tblStyle w:val="6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1">
    <w:name w:val="Strong"/>
    <w:qFormat/>
    <w:uiPriority w:val="0"/>
    <w:rPr>
      <w:b/>
      <w:sz w:val="20"/>
    </w:rPr>
  </w:style>
  <w:style w:type="character" w:styleId="72">
    <w:name w:val="page number"/>
    <w:uiPriority w:val="0"/>
    <w:rPr>
      <w:sz w:val="20"/>
    </w:rPr>
  </w:style>
  <w:style w:type="character" w:styleId="73">
    <w:name w:val="FollowedHyperlink"/>
    <w:basedOn w:val="70"/>
    <w:uiPriority w:val="0"/>
    <w:rPr>
      <w:color w:val="262626"/>
      <w:sz w:val="18"/>
      <w:szCs w:val="18"/>
      <w:u w:val="none"/>
    </w:rPr>
  </w:style>
  <w:style w:type="character" w:styleId="74">
    <w:name w:val="Emphasis"/>
    <w:qFormat/>
    <w:uiPriority w:val="0"/>
    <w:rPr>
      <w:i/>
      <w:sz w:val="20"/>
    </w:rPr>
  </w:style>
  <w:style w:type="character" w:styleId="75">
    <w:name w:val="Hyperlink"/>
    <w:basedOn w:val="70"/>
    <w:uiPriority w:val="0"/>
    <w:rPr>
      <w:color w:val="262626"/>
      <w:sz w:val="18"/>
      <w:szCs w:val="18"/>
      <w:u w:val="none"/>
    </w:rPr>
  </w:style>
  <w:style w:type="character" w:styleId="76">
    <w:name w:val="annotation reference"/>
    <w:uiPriority w:val="0"/>
    <w:rPr>
      <w:sz w:val="20"/>
    </w:rPr>
  </w:style>
  <w:style w:type="character" w:styleId="77">
    <w:name w:val="footnote reference"/>
    <w:uiPriority w:val="0"/>
    <w:rPr>
      <w:sz w:val="20"/>
      <w:vertAlign w:val="superscript"/>
    </w:rPr>
  </w:style>
  <w:style w:type="paragraph" w:customStyle="1" w:styleId="78">
    <w:name w:val="CSS1级正文 Char"/>
    <w:next w:val="79"/>
    <w:uiPriority w:val="0"/>
    <w:pPr>
      <w:widowControl w:val="0"/>
      <w:spacing w:line="360" w:lineRule="auto"/>
      <w:ind w:firstLine="480"/>
      <w:jc w:val="both"/>
    </w:pPr>
    <w:rPr>
      <w:sz w:val="24"/>
      <w:lang w:val="en-US" w:eastAsia="zh-CN" w:bidi="ar-SA"/>
    </w:rPr>
  </w:style>
  <w:style w:type="paragraph" w:customStyle="1" w:styleId="79">
    <w:name w:val="附录1"/>
    <w:basedOn w:val="1"/>
    <w:next w:val="1"/>
    <w:uiPriority w:val="0"/>
    <w:pPr>
      <w:widowControl w:val="0"/>
      <w:autoSpaceDE/>
      <w:autoSpaceDN/>
      <w:spacing w:before="0" w:beforeLines="0" w:after="0" w:afterLines="0" w:line="240" w:lineRule="auto"/>
      <w:ind w:left="425" w:hanging="425"/>
      <w:jc w:val="both"/>
      <w:outlineLvl w:val="0"/>
    </w:pPr>
    <w:rPr>
      <w:rFonts w:ascii="黑体" w:eastAsia="黑体"/>
      <w:b/>
      <w:sz w:val="44"/>
    </w:rPr>
  </w:style>
  <w:style w:type="paragraph" w:customStyle="1" w:styleId="80">
    <w:name w:val="段落正文"/>
    <w:basedOn w:val="1"/>
    <w:next w:val="81"/>
    <w:uiPriority w:val="0"/>
    <w:pPr>
      <w:widowControl w:val="0"/>
      <w:autoSpaceDE/>
      <w:autoSpaceDN/>
      <w:spacing w:before="156" w:beforeLines="0" w:after="0" w:afterLines="0" w:line="360" w:lineRule="auto"/>
      <w:ind w:left="0" w:firstLine="200"/>
      <w:jc w:val="both"/>
    </w:pPr>
    <w:rPr>
      <w:rFonts w:ascii="Times New Roman" w:eastAsia="宋体"/>
      <w:sz w:val="24"/>
    </w:rPr>
  </w:style>
  <w:style w:type="paragraph" w:customStyle="1" w:styleId="81">
    <w:name w:val="标题5"/>
    <w:basedOn w:val="1"/>
    <w:next w:val="82"/>
    <w:uiPriority w:val="0"/>
    <w:pPr>
      <w:widowControl w:val="0"/>
      <w:autoSpaceDE w:val="0"/>
      <w:autoSpaceDN w:val="0"/>
      <w:spacing w:before="0" w:beforeLines="0" w:after="0" w:afterLines="0" w:line="320" w:lineRule="atLeast"/>
      <w:ind w:left="0" w:firstLine="0"/>
      <w:jc w:val="both"/>
    </w:pPr>
    <w:rPr>
      <w:rFonts w:ascii="宋体" w:eastAsia="宋体"/>
      <w:sz w:val="21"/>
    </w:rPr>
  </w:style>
  <w:style w:type="paragraph" w:customStyle="1" w:styleId="82">
    <w:name w:val="1"/>
    <w:basedOn w:val="1"/>
    <w:next w:val="21"/>
    <w:uiPriority w:val="0"/>
    <w:pPr>
      <w:widowControl w:val="0"/>
      <w:autoSpaceDE/>
      <w:autoSpaceDN/>
      <w:spacing w:before="0" w:beforeLines="0" w:after="0" w:afterLines="0" w:line="240" w:lineRule="auto"/>
      <w:ind w:left="0" w:firstLine="0"/>
      <w:jc w:val="both"/>
    </w:pPr>
    <w:rPr>
      <w:rFonts w:ascii="Tahoma" w:eastAsia="宋体"/>
      <w:sz w:val="24"/>
    </w:rPr>
  </w:style>
  <w:style w:type="paragraph" w:customStyle="1" w:styleId="83">
    <w:name w:val="图标"/>
    <w:basedOn w:val="1"/>
    <w:next w:val="1"/>
    <w:uiPriority w:val="0"/>
    <w:pPr>
      <w:widowControl w:val="0"/>
      <w:autoSpaceDE w:val="0"/>
      <w:autoSpaceDN w:val="0"/>
      <w:spacing w:before="120" w:beforeLines="0" w:after="120" w:afterLines="0" w:line="320" w:lineRule="atLeast"/>
      <w:ind w:left="420" w:hanging="420"/>
      <w:jc w:val="center"/>
    </w:pPr>
    <w:rPr>
      <w:rFonts w:ascii="Times New Roman" w:eastAsia="仿宋_GB2312"/>
      <w:sz w:val="24"/>
    </w:rPr>
  </w:style>
  <w:style w:type="paragraph" w:customStyle="1" w:styleId="84">
    <w:name w:val="Table Contents"/>
    <w:next w:val="85"/>
    <w:uiPriority w:val="0"/>
    <w:pPr>
      <w:widowControl w:val="0"/>
    </w:pPr>
    <w:rPr>
      <w:rFonts w:eastAsia="Times New Roman"/>
      <w:sz w:val="24"/>
      <w:lang w:val="en-US" w:eastAsia="zh-CN" w:bidi="ar-SA"/>
    </w:rPr>
  </w:style>
  <w:style w:type="paragraph" w:customStyle="1" w:styleId="85">
    <w:name w:val="关键词"/>
    <w:basedOn w:val="1"/>
    <w:next w:val="1"/>
    <w:uiPriority w:val="0"/>
    <w:pPr>
      <w:widowControl w:val="0"/>
      <w:autoSpaceDE/>
      <w:autoSpaceDN/>
      <w:spacing w:before="0" w:beforeLines="0" w:after="0" w:afterLines="0" w:line="360" w:lineRule="auto"/>
      <w:ind w:left="0" w:firstLine="0"/>
      <w:jc w:val="both"/>
    </w:pPr>
    <w:rPr>
      <w:rFonts w:ascii="Times New Roman" w:eastAsia="黑体"/>
      <w:sz w:val="20"/>
    </w:rPr>
  </w:style>
  <w:style w:type="paragraph" w:customStyle="1" w:styleId="86">
    <w:name w:val="附录3"/>
    <w:basedOn w:val="1"/>
    <w:next w:val="1"/>
    <w:uiPriority w:val="0"/>
    <w:pPr>
      <w:widowControl w:val="0"/>
      <w:autoSpaceDE/>
      <w:autoSpaceDN/>
      <w:spacing w:before="0" w:beforeLines="0" w:after="0" w:afterLines="0" w:line="240" w:lineRule="auto"/>
      <w:ind w:left="425" w:hanging="425"/>
      <w:jc w:val="both"/>
      <w:outlineLvl w:val="2"/>
    </w:pPr>
    <w:rPr>
      <w:rFonts w:ascii="Times New Roman" w:eastAsia="黑体"/>
      <w:b/>
      <w:sz w:val="32"/>
    </w:rPr>
  </w:style>
  <w:style w:type="paragraph" w:customStyle="1" w:styleId="87">
    <w:name w:val="列表段落"/>
    <w:basedOn w:val="1"/>
    <w:next w:val="1"/>
    <w:qFormat/>
    <w:uiPriority w:val="0"/>
    <w:pPr>
      <w:wordWrap w:val="0"/>
      <w:ind w:left="850"/>
      <w:jc w:val="both"/>
    </w:pPr>
    <w:rPr>
      <w:sz w:val="21"/>
      <w:lang w:val="en-US" w:eastAsia="zh-CN" w:bidi="ar-SA"/>
    </w:rPr>
  </w:style>
  <w:style w:type="paragraph" w:customStyle="1" w:styleId="88">
    <w:name w:val="文本1"/>
    <w:basedOn w:val="1"/>
    <w:next w:val="89"/>
    <w:uiPriority w:val="0"/>
    <w:pPr>
      <w:widowControl w:val="0"/>
      <w:autoSpaceDE/>
      <w:autoSpaceDN/>
      <w:spacing w:before="0" w:beforeLines="0" w:after="0" w:afterLines="0" w:line="312" w:lineRule="atLeast"/>
      <w:ind w:left="0" w:firstLine="0"/>
      <w:jc w:val="center"/>
    </w:pPr>
    <w:rPr>
      <w:rFonts w:ascii="Times New Roman" w:eastAsia="宋体"/>
      <w:sz w:val="18"/>
    </w:rPr>
  </w:style>
  <w:style w:type="paragraph" w:customStyle="1" w:styleId="89">
    <w:name w:val="正文1"/>
    <w:basedOn w:val="1"/>
    <w:next w:val="41"/>
    <w:uiPriority w:val="0"/>
    <w:pPr>
      <w:widowControl w:val="0"/>
      <w:autoSpaceDE/>
      <w:autoSpaceDN/>
      <w:spacing w:before="0" w:beforeLines="0" w:after="0" w:afterLines="0" w:line="300" w:lineRule="auto"/>
      <w:ind w:left="0" w:firstLine="200"/>
      <w:jc w:val="both"/>
    </w:pPr>
    <w:rPr>
      <w:rFonts w:ascii="Times New Roman" w:eastAsia="宋体"/>
      <w:sz w:val="24"/>
    </w:rPr>
  </w:style>
  <w:style w:type="paragraph" w:customStyle="1" w:styleId="90">
    <w:name w:val="章标题"/>
    <w:next w:val="1"/>
    <w:uiPriority w:val="0"/>
    <w:pPr>
      <w:spacing w:before="156" w:after="156"/>
      <w:jc w:val="both"/>
      <w:outlineLvl w:val="1"/>
    </w:pPr>
    <w:rPr>
      <w:rFonts w:ascii="黑体" w:eastAsia="黑体"/>
      <w:sz w:val="24"/>
      <w:lang w:val="en-US" w:eastAsia="zh-CN" w:bidi="ar-SA"/>
    </w:rPr>
  </w:style>
  <w:style w:type="paragraph" w:customStyle="1" w:styleId="91">
    <w:name w:val="È±Ê¡ÎÄ±¾"/>
    <w:basedOn w:val="1"/>
    <w:next w:val="92"/>
    <w:uiPriority w:val="0"/>
    <w:pPr>
      <w:widowControl/>
      <w:autoSpaceDE w:val="0"/>
      <w:autoSpaceDN w:val="0"/>
      <w:spacing w:before="0" w:beforeLines="0" w:after="0" w:afterLines="0" w:line="240" w:lineRule="auto"/>
      <w:ind w:left="0" w:firstLine="0"/>
    </w:pPr>
    <w:rPr>
      <w:rFonts w:ascii="Times New Roman" w:eastAsia="宋体"/>
      <w:sz w:val="24"/>
    </w:rPr>
  </w:style>
  <w:style w:type="paragraph" w:customStyle="1" w:styleId="92">
    <w:name w:val="xl53"/>
    <w:basedOn w:val="1"/>
    <w:next w:val="93"/>
    <w:uiPriority w:val="0"/>
    <w:pPr>
      <w:widowControl/>
      <w:autoSpaceDE/>
      <w:autoSpaceDN/>
      <w:spacing w:before="280" w:beforeLines="0" w:after="280" w:afterLines="0" w:line="240" w:lineRule="auto"/>
      <w:ind w:left="0" w:firstLine="0"/>
      <w:jc w:val="center"/>
    </w:pPr>
    <w:rPr>
      <w:rFonts w:ascii="宋体" w:eastAsia="宋体"/>
      <w:sz w:val="24"/>
    </w:rPr>
  </w:style>
  <w:style w:type="paragraph" w:customStyle="1" w:styleId="93">
    <w:name w:val="IN Step"/>
    <w:basedOn w:val="1"/>
    <w:next w:val="94"/>
    <w:uiPriority w:val="0"/>
    <w:pPr>
      <w:widowControl/>
      <w:autoSpaceDE/>
      <w:autoSpaceDN/>
      <w:spacing w:before="80" w:beforeLines="0" w:after="80" w:afterLines="0" w:line="300" w:lineRule="auto"/>
      <w:ind w:left="1134" w:hanging="907"/>
      <w:jc w:val="both"/>
      <w:outlineLvl w:val="8"/>
    </w:pPr>
    <w:rPr>
      <w:rFonts w:ascii="Arial" w:eastAsia="宋体"/>
      <w:sz w:val="21"/>
    </w:rPr>
  </w:style>
  <w:style w:type="paragraph" w:customStyle="1" w:styleId="94">
    <w:name w:val=" Char Char1"/>
    <w:basedOn w:val="1"/>
    <w:next w:val="95"/>
    <w:uiPriority w:val="0"/>
    <w:pPr>
      <w:widowControl/>
      <w:autoSpaceDE/>
      <w:autoSpaceDN/>
      <w:spacing w:before="0" w:beforeLines="0" w:after="160" w:afterLines="0" w:line="240" w:lineRule="exact"/>
      <w:ind w:left="0" w:firstLine="0"/>
    </w:pPr>
    <w:rPr>
      <w:rFonts w:ascii="Verdana" w:eastAsia="宋体"/>
      <w:sz w:val="20"/>
    </w:rPr>
  </w:style>
  <w:style w:type="paragraph" w:customStyle="1" w:styleId="95">
    <w:name w:val="普通正文"/>
    <w:basedOn w:val="1"/>
    <w:next w:val="62"/>
    <w:uiPriority w:val="0"/>
    <w:pPr>
      <w:widowControl w:val="0"/>
      <w:autoSpaceDE/>
      <w:autoSpaceDN/>
      <w:spacing w:before="120" w:beforeLines="0" w:after="120" w:afterLines="0" w:line="360" w:lineRule="auto"/>
      <w:ind w:left="0" w:firstLine="480"/>
    </w:pPr>
    <w:rPr>
      <w:rFonts w:ascii="Arial" w:eastAsia="宋体"/>
      <w:sz w:val="24"/>
    </w:rPr>
  </w:style>
  <w:style w:type="paragraph" w:customStyle="1" w:styleId="96">
    <w:name w:val="AA Numbering"/>
    <w:basedOn w:val="1"/>
    <w:next w:val="97"/>
    <w:uiPriority w:val="0"/>
    <w:pPr>
      <w:widowControl/>
      <w:autoSpaceDE/>
      <w:autoSpaceDN/>
      <w:spacing w:before="0" w:beforeLines="0" w:after="0" w:afterLines="0" w:line="280" w:lineRule="atLeast"/>
      <w:ind w:left="0" w:firstLine="0"/>
    </w:pPr>
    <w:rPr>
      <w:rFonts w:ascii="Times New Roman" w:eastAsia="PMingLiU"/>
      <w:sz w:val="24"/>
    </w:rPr>
  </w:style>
  <w:style w:type="paragraph" w:customStyle="1" w:styleId="97">
    <w:name w:val="项目"/>
    <w:basedOn w:val="1"/>
    <w:next w:val="98"/>
    <w:uiPriority w:val="0"/>
    <w:pPr>
      <w:widowControl w:val="0"/>
      <w:autoSpaceDE/>
      <w:autoSpaceDN/>
      <w:spacing w:before="120" w:beforeLines="0" w:after="120" w:afterLines="0" w:line="360" w:lineRule="auto"/>
      <w:ind w:left="-7" w:firstLine="567"/>
    </w:pPr>
    <w:rPr>
      <w:rFonts w:ascii="宋体" w:eastAsia="宋体"/>
      <w:sz w:val="24"/>
    </w:rPr>
  </w:style>
  <w:style w:type="paragraph" w:customStyle="1" w:styleId="98">
    <w:name w:val="文章正文"/>
    <w:basedOn w:val="1"/>
    <w:next w:val="46"/>
    <w:uiPriority w:val="0"/>
    <w:pPr>
      <w:widowControl w:val="0"/>
      <w:autoSpaceDE/>
      <w:autoSpaceDN/>
      <w:spacing w:before="0" w:beforeLines="0" w:after="0" w:afterLines="0" w:line="240" w:lineRule="auto"/>
      <w:ind w:left="0" w:firstLine="560"/>
      <w:jc w:val="both"/>
    </w:pPr>
    <w:rPr>
      <w:rFonts w:ascii="仿宋_GB2312" w:eastAsia="仿宋_GB2312"/>
      <w:color w:val="000000"/>
      <w:sz w:val="28"/>
    </w:rPr>
  </w:style>
  <w:style w:type="paragraph" w:customStyle="1" w:styleId="99">
    <w:name w:val="Body Text Indent"/>
    <w:basedOn w:val="1"/>
    <w:qFormat/>
    <w:uiPriority w:val="0"/>
    <w:pPr>
      <w:spacing w:line="700" w:lineRule="exact"/>
      <w:ind w:left="960"/>
    </w:pPr>
    <w:rPr>
      <w:sz w:val="44"/>
    </w:rPr>
  </w:style>
  <w:style w:type="paragraph" w:customStyle="1" w:styleId="100">
    <w:name w:val="图片文字"/>
    <w:basedOn w:val="1"/>
    <w:next w:val="101"/>
    <w:uiPriority w:val="0"/>
    <w:pPr>
      <w:widowControl w:val="0"/>
      <w:autoSpaceDE/>
      <w:autoSpaceDN/>
      <w:spacing w:before="0" w:beforeLines="0" w:after="0" w:afterLines="0" w:line="240" w:lineRule="atLeast"/>
      <w:ind w:left="0" w:firstLine="0"/>
      <w:jc w:val="center"/>
    </w:pPr>
    <w:rPr>
      <w:rFonts w:ascii="Times New Roman" w:eastAsia="宋体"/>
      <w:sz w:val="21"/>
    </w:rPr>
  </w:style>
  <w:style w:type="paragraph" w:customStyle="1" w:styleId="101">
    <w:name w:val=" Char Char 字元 字元 字元 Char Char Char Char"/>
    <w:basedOn w:val="1"/>
    <w:next w:val="102"/>
    <w:uiPriority w:val="0"/>
    <w:pPr>
      <w:widowControl w:val="0"/>
      <w:autoSpaceDE/>
      <w:autoSpaceDN/>
      <w:spacing w:before="0" w:beforeLines="0" w:after="0" w:afterLines="0" w:line="360" w:lineRule="auto"/>
      <w:ind w:left="0" w:firstLine="0"/>
      <w:jc w:val="both"/>
    </w:pPr>
    <w:rPr>
      <w:rFonts w:ascii="Times New Roman" w:eastAsia="宋体"/>
      <w:sz w:val="24"/>
    </w:rPr>
  </w:style>
  <w:style w:type="paragraph" w:customStyle="1" w:styleId="102">
    <w:name w:val="样式 正文缩进正文（首行缩进两字）表正文正文非缩进特点标题4段1 + 首行缩进:  2 字符"/>
    <w:next w:val="56"/>
    <w:uiPriority w:val="0"/>
    <w:pPr>
      <w:widowControl w:val="0"/>
      <w:spacing w:line="360" w:lineRule="auto"/>
      <w:ind w:firstLine="480"/>
      <w:jc w:val="both"/>
    </w:pPr>
    <w:rPr>
      <w:sz w:val="24"/>
      <w:lang w:val="en-US" w:eastAsia="zh-CN" w:bidi="ar-SA"/>
    </w:rPr>
  </w:style>
  <w:style w:type="paragraph" w:customStyle="1" w:styleId="103">
    <w:name w:val="Title - Date"/>
    <w:next w:val="1"/>
    <w:uiPriority w:val="0"/>
    <w:pPr>
      <w:spacing w:before="240" w:after="720" w:line="360" w:lineRule="auto"/>
      <w:jc w:val="center"/>
    </w:pPr>
    <w:rPr>
      <w:rFonts w:ascii="Arial"/>
      <w:b/>
      <w:smallCaps/>
      <w:sz w:val="28"/>
      <w:lang w:val="en-US" w:eastAsia="zh-CN" w:bidi="ar-SA"/>
    </w:rPr>
  </w:style>
  <w:style w:type="paragraph" w:customStyle="1" w:styleId="104">
    <w:name w:val="编号正文"/>
    <w:next w:val="105"/>
    <w:uiPriority w:val="0"/>
    <w:pPr>
      <w:widowControl w:val="0"/>
      <w:spacing w:line="360" w:lineRule="auto"/>
      <w:ind w:left="1407" w:hanging="1047"/>
    </w:pPr>
    <w:rPr>
      <w:rFonts w:ascii="Arial Narrow" w:eastAsia="仿宋_GB2312"/>
      <w:sz w:val="24"/>
      <w:lang w:val="en-US" w:eastAsia="zh-CN" w:bidi="ar-SA"/>
    </w:rPr>
  </w:style>
  <w:style w:type="paragraph" w:styleId="105">
    <w:name w:val=""/>
    <w:next w:val="106"/>
    <w:uiPriority w:val="0"/>
    <w:rPr>
      <w:sz w:val="21"/>
      <w:lang w:val="en-US" w:eastAsia="zh-CN" w:bidi="ar-SA"/>
    </w:rPr>
  </w:style>
  <w:style w:type="paragraph" w:customStyle="1" w:styleId="106">
    <w:name w:val="Table Text Char Char Char"/>
    <w:next w:val="80"/>
    <w:uiPriority w:val="0"/>
    <w:pPr>
      <w:spacing w:before="80" w:after="80"/>
    </w:pPr>
    <w:rPr>
      <w:rFonts w:ascii="Arial"/>
      <w:sz w:val="18"/>
      <w:lang w:val="en-US" w:eastAsia="zh-CN" w:bidi="ar-SA"/>
    </w:rPr>
  </w:style>
  <w:style w:type="paragraph" w:customStyle="1" w:styleId="107">
    <w:name w:val="目录 81"/>
    <w:basedOn w:val="1"/>
    <w:next w:val="1"/>
    <w:uiPriority w:val="0"/>
    <w:pPr>
      <w:widowControl w:val="0"/>
      <w:autoSpaceDE/>
      <w:autoSpaceDN/>
      <w:spacing w:before="0" w:beforeLines="0" w:after="0" w:afterLines="0" w:line="240" w:lineRule="auto"/>
      <w:ind w:left="2940" w:firstLine="0"/>
      <w:jc w:val="both"/>
    </w:pPr>
    <w:rPr>
      <w:rFonts w:ascii="Times New Roman" w:eastAsia="宋体"/>
      <w:sz w:val="28"/>
    </w:rPr>
  </w:style>
  <w:style w:type="paragraph" w:customStyle="1" w:styleId="108">
    <w:name w:val="首行缩进"/>
    <w:basedOn w:val="1"/>
    <w:next w:val="109"/>
    <w:uiPriority w:val="0"/>
    <w:pPr>
      <w:widowControl w:val="0"/>
      <w:autoSpaceDE/>
      <w:autoSpaceDN/>
      <w:spacing w:before="0" w:beforeLines="0" w:after="0" w:afterLines="0" w:line="360" w:lineRule="auto"/>
      <w:ind w:left="0" w:firstLine="420"/>
      <w:jc w:val="both"/>
    </w:pPr>
    <w:rPr>
      <w:rFonts w:ascii="Times New Roman" w:eastAsia="宋体"/>
      <w:sz w:val="21"/>
    </w:rPr>
  </w:style>
  <w:style w:type="paragraph" w:customStyle="1" w:styleId="109">
    <w:name w:val="样式 行距: 1.5 倍行距1"/>
    <w:basedOn w:val="1"/>
    <w:next w:val="25"/>
    <w:uiPriority w:val="0"/>
    <w:pPr>
      <w:widowControl w:val="0"/>
      <w:autoSpaceDE/>
      <w:autoSpaceDN/>
      <w:spacing w:before="0" w:beforeLines="0" w:after="0" w:afterLines="0" w:line="240" w:lineRule="auto"/>
      <w:ind w:left="0" w:firstLine="0"/>
      <w:jc w:val="both"/>
    </w:pPr>
    <w:rPr>
      <w:rFonts w:ascii="Times New Roman" w:eastAsia="宋体"/>
      <w:sz w:val="21"/>
    </w:rPr>
  </w:style>
  <w:style w:type="paragraph" w:customStyle="1" w:styleId="110">
    <w:name w:val="表格1"/>
    <w:basedOn w:val="1"/>
    <w:next w:val="1"/>
    <w:uiPriority w:val="0"/>
    <w:pPr>
      <w:widowControl w:val="0"/>
      <w:wordWrap w:val="0"/>
      <w:autoSpaceDE w:val="0"/>
      <w:autoSpaceDN w:val="0"/>
      <w:spacing w:before="0" w:beforeLines="0" w:after="0" w:afterLines="0" w:line="288" w:lineRule="auto"/>
      <w:ind w:left="0" w:firstLine="0"/>
      <w:jc w:val="center"/>
    </w:pPr>
    <w:rPr>
      <w:rFonts w:ascii="宋体" w:eastAsia="宋体"/>
      <w:sz w:val="18"/>
    </w:rPr>
  </w:style>
  <w:style w:type="paragraph" w:customStyle="1" w:styleId="111">
    <w:name w:val=" Char Char Char"/>
    <w:basedOn w:val="1"/>
    <w:next w:val="96"/>
    <w:uiPriority w:val="0"/>
    <w:pPr>
      <w:widowControl w:val="0"/>
      <w:autoSpaceDE/>
      <w:autoSpaceDN/>
      <w:spacing w:before="0" w:beforeLines="0" w:after="0" w:afterLines="0" w:line="240" w:lineRule="auto"/>
      <w:ind w:left="0" w:firstLine="0"/>
      <w:jc w:val="both"/>
    </w:pPr>
    <w:rPr>
      <w:rFonts w:ascii="Tahoma" w:eastAsia="宋体"/>
      <w:sz w:val="24"/>
    </w:rPr>
  </w:style>
  <w:style w:type="paragraph" w:customStyle="1" w:styleId="112">
    <w:name w:val="可研正文"/>
    <w:next w:val="91"/>
    <w:uiPriority w:val="0"/>
    <w:pPr>
      <w:widowControl w:val="0"/>
      <w:spacing w:line="440" w:lineRule="exact"/>
      <w:ind w:firstLine="567"/>
      <w:jc w:val="both"/>
    </w:pPr>
    <w:rPr>
      <w:rFonts w:ascii="仿宋_GB2312" w:eastAsia="仿宋_GB2312"/>
      <w:sz w:val="28"/>
      <w:lang w:val="en-US" w:eastAsia="zh-CN" w:bidi="ar-SA"/>
    </w:rPr>
  </w:style>
  <w:style w:type="paragraph" w:customStyle="1" w:styleId="113">
    <w:name w:val="xl23"/>
    <w:basedOn w:val="1"/>
    <w:next w:val="114"/>
    <w:uiPriority w:val="0"/>
    <w:pPr>
      <w:widowControl/>
      <w:autoSpaceDE/>
      <w:autoSpaceDN/>
      <w:spacing w:before="280" w:beforeLines="0" w:after="280" w:afterLines="0" w:line="360" w:lineRule="auto"/>
      <w:ind w:left="0" w:firstLine="0"/>
      <w:jc w:val="both"/>
    </w:pPr>
    <w:rPr>
      <w:rFonts w:ascii="Times New Roman" w:eastAsia="宋体"/>
      <w:sz w:val="24"/>
    </w:rPr>
  </w:style>
  <w:style w:type="paragraph" w:customStyle="1" w:styleId="114">
    <w:name w:val="摘要"/>
    <w:basedOn w:val="1"/>
    <w:next w:val="4"/>
    <w:uiPriority w:val="0"/>
    <w:pPr>
      <w:widowControl w:val="0"/>
      <w:autoSpaceDE/>
      <w:autoSpaceDN/>
      <w:spacing w:before="0" w:beforeLines="0" w:after="0" w:afterLines="0" w:line="360" w:lineRule="auto"/>
      <w:ind w:left="0" w:firstLine="0"/>
      <w:jc w:val="both"/>
    </w:pPr>
    <w:rPr>
      <w:rFonts w:ascii="Times New Roman" w:eastAsia="黑体"/>
      <w:sz w:val="20"/>
    </w:rPr>
  </w:style>
  <w:style w:type="paragraph" w:customStyle="1" w:styleId="115">
    <w:name w:val="文字"/>
    <w:basedOn w:val="1"/>
    <w:next w:val="111"/>
    <w:uiPriority w:val="0"/>
    <w:pPr>
      <w:widowControl w:val="0"/>
      <w:autoSpaceDE/>
      <w:autoSpaceDN/>
      <w:spacing w:before="0" w:beforeLines="0" w:after="0" w:afterLines="0" w:line="312" w:lineRule="auto"/>
      <w:ind w:left="0" w:right="-210" w:firstLine="556"/>
      <w:jc w:val="both"/>
    </w:pPr>
    <w:rPr>
      <w:rFonts w:ascii="宋体" w:eastAsia="宋体"/>
      <w:sz w:val="28"/>
    </w:rPr>
  </w:style>
  <w:style w:type="paragraph" w:customStyle="1" w:styleId="116">
    <w:name w:val="小标题 1"/>
    <w:basedOn w:val="1"/>
    <w:next w:val="117"/>
    <w:uiPriority w:val="0"/>
    <w:pPr>
      <w:widowControl w:val="0"/>
      <w:autoSpaceDE w:val="0"/>
      <w:autoSpaceDN w:val="0"/>
      <w:spacing w:before="0" w:beforeLines="0" w:after="0" w:afterLines="0" w:line="360" w:lineRule="atLeast"/>
      <w:ind w:left="0" w:firstLine="0"/>
      <w:jc w:val="both"/>
    </w:pPr>
    <w:rPr>
      <w:rFonts w:ascii="文鼎粗黑" w:eastAsia="文鼎粗黑"/>
      <w:sz w:val="22"/>
    </w:rPr>
  </w:style>
  <w:style w:type="paragraph" w:customStyle="1" w:styleId="117">
    <w:name w:val="样式 正文首行缩进 2 + 首行缩进:  2 字符"/>
    <w:basedOn w:val="1"/>
    <w:next w:val="118"/>
    <w:uiPriority w:val="0"/>
    <w:pPr>
      <w:widowControl w:val="0"/>
      <w:autoSpaceDE/>
      <w:autoSpaceDN/>
      <w:spacing w:before="0" w:beforeLines="0" w:after="0" w:afterLines="0" w:line="360" w:lineRule="auto"/>
      <w:ind w:left="987" w:hanging="420"/>
      <w:jc w:val="both"/>
    </w:pPr>
    <w:rPr>
      <w:rFonts w:ascii="Arial" w:eastAsia="宋体"/>
      <w:b/>
      <w:sz w:val="24"/>
    </w:rPr>
  </w:style>
  <w:style w:type="paragraph" w:customStyle="1" w:styleId="118">
    <w:name w:val="文档正文 Char Char Char Char Char"/>
    <w:basedOn w:val="1"/>
    <w:next w:val="119"/>
    <w:uiPriority w:val="0"/>
    <w:pPr>
      <w:widowControl w:val="0"/>
      <w:autoSpaceDE/>
      <w:autoSpaceDN/>
      <w:spacing w:before="0" w:beforeLines="0" w:after="0" w:afterLines="0" w:line="440" w:lineRule="exact"/>
      <w:ind w:left="0" w:firstLine="420"/>
      <w:jc w:val="both"/>
    </w:pPr>
    <w:rPr>
      <w:rFonts w:ascii="Arial Narrow" w:eastAsia="宋体"/>
      <w:sz w:val="24"/>
    </w:rPr>
  </w:style>
  <w:style w:type="paragraph" w:customStyle="1" w:styleId="119">
    <w:name w:val=" Char1 Char Char Char"/>
    <w:basedOn w:val="1"/>
    <w:next w:val="120"/>
    <w:uiPriority w:val="0"/>
    <w:pPr>
      <w:widowControl w:val="0"/>
      <w:autoSpaceDE/>
      <w:autoSpaceDN/>
      <w:spacing w:before="0" w:beforeLines="0" w:after="0" w:afterLines="0" w:line="240" w:lineRule="auto"/>
      <w:ind w:left="0" w:firstLine="0"/>
      <w:jc w:val="both"/>
    </w:pPr>
    <w:rPr>
      <w:rFonts w:ascii="Tahoma" w:eastAsia="宋体"/>
      <w:sz w:val="24"/>
    </w:rPr>
  </w:style>
  <w:style w:type="paragraph" w:customStyle="1" w:styleId="120">
    <w:name w:val="目录 91"/>
    <w:basedOn w:val="1"/>
    <w:next w:val="1"/>
    <w:uiPriority w:val="0"/>
    <w:pPr>
      <w:widowControl w:val="0"/>
      <w:autoSpaceDE/>
      <w:autoSpaceDN/>
      <w:spacing w:before="0" w:beforeLines="0" w:after="0" w:afterLines="0" w:line="240" w:lineRule="auto"/>
      <w:ind w:left="3360" w:firstLine="0"/>
      <w:jc w:val="both"/>
    </w:pPr>
    <w:rPr>
      <w:rFonts w:ascii="Times New Roman" w:eastAsia="宋体"/>
      <w:sz w:val="28"/>
    </w:rPr>
  </w:style>
  <w:style w:type="paragraph" w:customStyle="1" w:styleId="121">
    <w:name w:val="p"/>
    <w:basedOn w:val="1"/>
    <w:next w:val="122"/>
    <w:uiPriority w:val="0"/>
    <w:pPr>
      <w:widowControl/>
      <w:autoSpaceDE/>
      <w:autoSpaceDN/>
      <w:spacing w:before="280" w:beforeLines="0" w:after="280" w:afterLines="0" w:line="240" w:lineRule="auto"/>
      <w:ind w:left="0" w:firstLine="0"/>
    </w:pPr>
    <w:rPr>
      <w:rFonts w:ascii="宋体" w:eastAsia="宋体"/>
      <w:sz w:val="24"/>
    </w:rPr>
  </w:style>
  <w:style w:type="paragraph" w:customStyle="1" w:styleId="122">
    <w:name w:val="Table Description"/>
    <w:next w:val="1"/>
    <w:uiPriority w:val="0"/>
    <w:pPr>
      <w:spacing w:before="160" w:after="80"/>
      <w:ind w:left="1134"/>
      <w:jc w:val="center"/>
    </w:pPr>
    <w:rPr>
      <w:rFonts w:ascii="Arial" w:eastAsia="黑体"/>
      <w:sz w:val="18"/>
      <w:lang w:val="en-US" w:eastAsia="zh-CN" w:bidi="ar-SA"/>
    </w:rPr>
  </w:style>
  <w:style w:type="paragraph" w:customStyle="1" w:styleId="123">
    <w:name w:val="图例"/>
    <w:basedOn w:val="1"/>
    <w:next w:val="124"/>
    <w:uiPriority w:val="0"/>
    <w:pPr>
      <w:widowControl w:val="0"/>
      <w:autoSpaceDE/>
      <w:autoSpaceDN/>
      <w:spacing w:before="120" w:beforeLines="0" w:after="120" w:afterLines="0" w:line="360" w:lineRule="auto"/>
      <w:ind w:left="0" w:firstLine="0"/>
      <w:jc w:val="center"/>
    </w:pPr>
    <w:rPr>
      <w:rFonts w:ascii="Times New Roman" w:eastAsia="仿宋_GB2312"/>
      <w:b/>
      <w:sz w:val="24"/>
    </w:rPr>
  </w:style>
  <w:style w:type="paragraph" w:customStyle="1" w:styleId="124">
    <w:name w:val="正文4"/>
    <w:basedOn w:val="1"/>
    <w:next w:val="125"/>
    <w:uiPriority w:val="0"/>
    <w:pPr>
      <w:widowControl w:val="0"/>
      <w:autoSpaceDE/>
      <w:autoSpaceDN/>
      <w:spacing w:before="60" w:beforeLines="0" w:after="60" w:afterLines="0" w:line="360" w:lineRule="auto"/>
      <w:ind w:left="820" w:hanging="705"/>
      <w:jc w:val="both"/>
    </w:pPr>
    <w:rPr>
      <w:rFonts w:ascii="Times New Roman" w:eastAsia="宋体"/>
      <w:sz w:val="24"/>
    </w:rPr>
  </w:style>
  <w:style w:type="paragraph" w:customStyle="1" w:styleId="125">
    <w:name w:val="xl27"/>
    <w:basedOn w:val="1"/>
    <w:next w:val="126"/>
    <w:uiPriority w:val="0"/>
    <w:pPr>
      <w:widowControl/>
      <w:autoSpaceDE/>
      <w:autoSpaceDN/>
      <w:spacing w:before="280" w:beforeLines="0" w:after="280" w:afterLines="0" w:line="240" w:lineRule="auto"/>
      <w:ind w:left="0" w:firstLine="0"/>
      <w:jc w:val="center"/>
    </w:pPr>
    <w:rPr>
      <w:rFonts w:ascii="宋体" w:eastAsia="宋体"/>
      <w:sz w:val="21"/>
    </w:rPr>
  </w:style>
  <w:style w:type="paragraph" w:customStyle="1" w:styleId="126">
    <w:name w:val="bt"/>
    <w:basedOn w:val="1"/>
    <w:next w:val="1"/>
    <w:uiPriority w:val="0"/>
    <w:pPr>
      <w:widowControl w:val="0"/>
      <w:autoSpaceDE w:val="0"/>
      <w:autoSpaceDN w:val="0"/>
      <w:spacing w:before="100" w:beforeLines="0" w:after="100" w:afterLines="0" w:line="240" w:lineRule="atLeast"/>
      <w:ind w:left="2880" w:hanging="360"/>
      <w:jc w:val="both"/>
    </w:pPr>
    <w:rPr>
      <w:rFonts w:ascii="宋体" w:eastAsia="宋体"/>
      <w:sz w:val="20"/>
    </w:rPr>
  </w:style>
  <w:style w:type="paragraph" w:customStyle="1" w:styleId="127">
    <w:name w:val="样式2"/>
    <w:basedOn w:val="6"/>
    <w:next w:val="128"/>
    <w:uiPriority w:val="0"/>
    <w:pPr>
      <w:widowControl w:val="0"/>
      <w:autoSpaceDE/>
      <w:autoSpaceDN/>
      <w:spacing w:before="560" w:beforeLines="0" w:after="290" w:afterLines="0" w:line="400" w:lineRule="exact"/>
      <w:ind w:left="420" w:hanging="420"/>
      <w:jc w:val="center"/>
      <w:outlineLvl w:val="0"/>
    </w:pPr>
    <w:rPr>
      <w:rFonts w:ascii="Arial" w:eastAsia="黑体"/>
      <w:b w:val="0"/>
      <w:sz w:val="44"/>
    </w:rPr>
  </w:style>
  <w:style w:type="paragraph" w:customStyle="1" w:styleId="128">
    <w:name w:val="样式4"/>
    <w:basedOn w:val="6"/>
    <w:next w:val="129"/>
    <w:uiPriority w:val="0"/>
    <w:pPr>
      <w:widowControl w:val="0"/>
      <w:autoSpaceDE/>
      <w:autoSpaceDN/>
      <w:spacing w:before="280" w:beforeLines="0" w:after="290" w:afterLines="0" w:line="372" w:lineRule="auto"/>
      <w:ind w:left="0" w:firstLine="0"/>
      <w:jc w:val="both"/>
      <w:outlineLvl w:val="3"/>
    </w:pPr>
    <w:rPr>
      <w:rFonts w:ascii="Arial" w:eastAsia="黑体"/>
      <w:sz w:val="28"/>
    </w:rPr>
  </w:style>
  <w:style w:type="paragraph" w:customStyle="1" w:styleId="129">
    <w:name w:val="Char Char Char Char"/>
    <w:basedOn w:val="1"/>
    <w:next w:val="130"/>
    <w:uiPriority w:val="0"/>
    <w:pPr>
      <w:widowControl/>
      <w:autoSpaceDE/>
      <w:autoSpaceDN/>
      <w:spacing w:before="0" w:beforeLines="0" w:after="160" w:afterLines="0" w:line="240" w:lineRule="exact"/>
      <w:ind w:left="0" w:firstLine="0"/>
    </w:pPr>
    <w:rPr>
      <w:rFonts w:ascii="Verdana" w:eastAsia="宋体"/>
      <w:sz w:val="20"/>
    </w:rPr>
  </w:style>
  <w:style w:type="paragraph" w:customStyle="1" w:styleId="130">
    <w:name w:val="Body Text 2"/>
    <w:basedOn w:val="1"/>
    <w:next w:val="26"/>
    <w:uiPriority w:val="0"/>
    <w:pPr>
      <w:widowControl w:val="0"/>
      <w:autoSpaceDE/>
      <w:autoSpaceDN/>
      <w:spacing w:before="120" w:beforeLines="0" w:after="0" w:afterLines="0" w:line="360" w:lineRule="auto"/>
      <w:ind w:left="0" w:firstLine="480"/>
      <w:jc w:val="both"/>
    </w:pPr>
    <w:rPr>
      <w:rFonts w:ascii="Times New Roman" w:eastAsia="宋体"/>
      <w:sz w:val="24"/>
    </w:rPr>
  </w:style>
  <w:style w:type="paragraph" w:customStyle="1" w:styleId="131">
    <w:name w:val="样式1xz"/>
    <w:basedOn w:val="1"/>
    <w:next w:val="132"/>
    <w:uiPriority w:val="0"/>
    <w:pPr>
      <w:widowControl w:val="0"/>
      <w:autoSpaceDE/>
      <w:autoSpaceDN/>
      <w:spacing w:before="0" w:beforeLines="0" w:after="0" w:afterLines="0" w:line="240" w:lineRule="auto"/>
      <w:ind w:left="0" w:firstLine="0"/>
      <w:jc w:val="both"/>
    </w:pPr>
    <w:rPr>
      <w:rFonts w:ascii="Times New Roman" w:eastAsia="宋体"/>
      <w:caps/>
      <w:sz w:val="24"/>
    </w:rPr>
  </w:style>
  <w:style w:type="paragraph" w:customStyle="1" w:styleId="132">
    <w:name w:val="样式 标题 1 + 居中 段前: 6 磅 段后: 6 磅 行距: 1.5 倍行距"/>
    <w:basedOn w:val="3"/>
    <w:next w:val="133"/>
    <w:uiPriority w:val="0"/>
    <w:pPr>
      <w:widowControl w:val="0"/>
      <w:autoSpaceDE/>
      <w:autoSpaceDN/>
      <w:spacing w:before="120" w:beforeLines="0" w:after="156" w:afterLines="0" w:line="360" w:lineRule="auto"/>
      <w:ind w:left="0" w:firstLine="0"/>
      <w:jc w:val="center"/>
      <w:outlineLvl w:val="0"/>
    </w:pPr>
    <w:rPr>
      <w:rFonts w:ascii="Times New Roman" w:eastAsia="宋体"/>
      <w:b/>
      <w:sz w:val="32"/>
    </w:rPr>
  </w:style>
  <w:style w:type="paragraph" w:customStyle="1" w:styleId="133">
    <w:name w:val="Char Char Char Char Char Char Char"/>
    <w:next w:val="100"/>
    <w:uiPriority w:val="0"/>
    <w:pPr>
      <w:widowControl w:val="0"/>
      <w:shd w:val="clear" w:color="000000" w:fill="000080"/>
      <w:jc w:val="both"/>
    </w:pPr>
    <w:rPr>
      <w:sz w:val="28"/>
      <w:lang w:val="en-US" w:eastAsia="zh-CN" w:bidi="ar-SA"/>
    </w:rPr>
  </w:style>
  <w:style w:type="paragraph" w:customStyle="1" w:styleId="134">
    <w:name w:val="标题2"/>
    <w:basedOn w:val="4"/>
    <w:next w:val="135"/>
    <w:uiPriority w:val="0"/>
    <w:pPr>
      <w:widowControl w:val="0"/>
      <w:autoSpaceDE/>
      <w:autoSpaceDN/>
      <w:spacing w:before="0" w:beforeLines="0" w:after="0" w:afterLines="0" w:line="360" w:lineRule="auto"/>
      <w:ind w:left="0" w:firstLine="574"/>
      <w:jc w:val="both"/>
    </w:pPr>
    <w:rPr>
      <w:rFonts w:ascii="宋体" w:eastAsia="宋体"/>
      <w:sz w:val="28"/>
      <w:u w:val="single"/>
    </w:rPr>
  </w:style>
  <w:style w:type="paragraph" w:customStyle="1" w:styleId="135">
    <w:name w:val="简单回函地址"/>
    <w:basedOn w:val="1"/>
    <w:next w:val="136"/>
    <w:uiPriority w:val="0"/>
    <w:pPr>
      <w:widowControl w:val="0"/>
      <w:autoSpaceDE/>
      <w:autoSpaceDN/>
      <w:spacing w:before="0" w:beforeLines="0" w:after="0" w:afterLines="0" w:line="360" w:lineRule="auto"/>
      <w:ind w:left="0" w:firstLine="0"/>
      <w:jc w:val="both"/>
    </w:pPr>
    <w:rPr>
      <w:rFonts w:ascii="Times New Roman" w:eastAsia="宋体"/>
      <w:sz w:val="24"/>
    </w:rPr>
  </w:style>
  <w:style w:type="paragraph" w:customStyle="1" w:styleId="136">
    <w:name w:val="Title - Revision"/>
    <w:next w:val="137"/>
    <w:uiPriority w:val="0"/>
    <w:pPr>
      <w:spacing w:before="720" w:after="240" w:line="360" w:lineRule="auto"/>
      <w:jc w:val="center"/>
    </w:pPr>
    <w:rPr>
      <w:rFonts w:ascii="Arial"/>
      <w:b/>
      <w:smallCaps/>
      <w:sz w:val="36"/>
      <w:lang w:val="en-US" w:eastAsia="zh-CN" w:bidi="ar-SA"/>
    </w:rPr>
  </w:style>
  <w:style w:type="paragraph" w:customStyle="1" w:styleId="137">
    <w:name w:val="Item Step in Table"/>
    <w:next w:val="138"/>
    <w:uiPriority w:val="0"/>
    <w:pPr>
      <w:spacing w:before="40" w:after="40"/>
      <w:ind w:left="397" w:hanging="397"/>
      <w:jc w:val="both"/>
    </w:pPr>
    <w:rPr>
      <w:rFonts w:ascii="Arial"/>
      <w:sz w:val="18"/>
      <w:lang w:val="en-US" w:eastAsia="zh-CN" w:bidi="ar-SA"/>
    </w:rPr>
  </w:style>
  <w:style w:type="paragraph" w:customStyle="1" w:styleId="138">
    <w:name w:val="目录 51"/>
    <w:basedOn w:val="1"/>
    <w:next w:val="1"/>
    <w:uiPriority w:val="0"/>
    <w:pPr>
      <w:widowControl w:val="0"/>
      <w:autoSpaceDE/>
      <w:autoSpaceDN/>
      <w:spacing w:before="0" w:beforeLines="0" w:after="0" w:afterLines="0" w:line="240" w:lineRule="auto"/>
      <w:ind w:left="1680" w:firstLine="0"/>
      <w:jc w:val="both"/>
    </w:pPr>
    <w:rPr>
      <w:rFonts w:ascii="Times New Roman" w:eastAsia="宋体"/>
      <w:sz w:val="28"/>
    </w:rPr>
  </w:style>
  <w:style w:type="paragraph" w:customStyle="1" w:styleId="139">
    <w:name w:val="标准正文"/>
    <w:next w:val="140"/>
    <w:uiPriority w:val="0"/>
    <w:pPr>
      <w:widowControl w:val="0"/>
      <w:spacing w:before="60" w:after="60" w:line="360" w:lineRule="auto"/>
      <w:ind w:firstLine="482"/>
      <w:jc w:val="both"/>
    </w:pPr>
    <w:rPr>
      <w:rFonts w:ascii="Arial"/>
      <w:sz w:val="24"/>
      <w:lang w:val="en-US" w:eastAsia="zh-CN" w:bidi="ar-SA"/>
    </w:rPr>
  </w:style>
  <w:style w:type="paragraph" w:customStyle="1" w:styleId="140">
    <w:name w:val="Item List"/>
    <w:next w:val="141"/>
    <w:uiPriority w:val="0"/>
    <w:pPr>
      <w:spacing w:line="300" w:lineRule="auto"/>
      <w:ind w:left="1644" w:hanging="510"/>
      <w:jc w:val="both"/>
    </w:pPr>
    <w:rPr>
      <w:rFonts w:ascii="Arial"/>
      <w:sz w:val="21"/>
      <w:lang w:val="en-US" w:eastAsia="zh-CN" w:bidi="ar-SA"/>
    </w:rPr>
  </w:style>
  <w:style w:type="paragraph" w:customStyle="1" w:styleId="141">
    <w:name w:val=" Char Char1 Char"/>
    <w:basedOn w:val="1"/>
    <w:next w:val="142"/>
    <w:uiPriority w:val="0"/>
    <w:pPr>
      <w:widowControl w:val="0"/>
      <w:autoSpaceDE/>
      <w:autoSpaceDN/>
      <w:spacing w:before="0" w:beforeLines="0" w:after="0" w:afterLines="0" w:line="240" w:lineRule="auto"/>
      <w:ind w:left="0" w:firstLine="0"/>
      <w:jc w:val="both"/>
    </w:pPr>
    <w:rPr>
      <w:rFonts w:ascii="Tahoma" w:eastAsia="宋体"/>
      <w:sz w:val="24"/>
    </w:rPr>
  </w:style>
  <w:style w:type="paragraph" w:customStyle="1" w:styleId="142">
    <w:name w:val="Note"/>
    <w:basedOn w:val="1"/>
    <w:next w:val="143"/>
    <w:uiPriority w:val="0"/>
    <w:pPr>
      <w:widowControl w:val="0"/>
      <w:autoSpaceDE/>
      <w:autoSpaceDN/>
      <w:spacing w:before="0" w:beforeLines="0" w:after="0" w:afterLines="0" w:line="360" w:lineRule="auto"/>
      <w:ind w:left="0" w:firstLine="0"/>
      <w:jc w:val="both"/>
    </w:pPr>
    <w:rPr>
      <w:rFonts w:ascii="Times New Roman" w:eastAsia="宋体"/>
      <w:sz w:val="24"/>
    </w:rPr>
  </w:style>
  <w:style w:type="paragraph" w:customStyle="1" w:styleId="143">
    <w:name w:val="Table Text"/>
    <w:next w:val="144"/>
    <w:uiPriority w:val="0"/>
    <w:pPr>
      <w:spacing w:before="80" w:after="80"/>
    </w:pPr>
    <w:rPr>
      <w:rFonts w:ascii="Arial"/>
      <w:sz w:val="18"/>
      <w:lang w:val="en-US" w:eastAsia="zh-CN" w:bidi="ar-SA"/>
    </w:rPr>
  </w:style>
  <w:style w:type="paragraph" w:customStyle="1" w:styleId="144">
    <w:name w:val="表"/>
    <w:basedOn w:val="1"/>
    <w:next w:val="45"/>
    <w:uiPriority w:val="0"/>
    <w:pPr>
      <w:widowControl w:val="0"/>
      <w:autoSpaceDE/>
      <w:autoSpaceDN/>
      <w:spacing w:before="0" w:beforeLines="0" w:after="0" w:afterLines="0" w:line="240" w:lineRule="auto"/>
      <w:ind w:left="0" w:firstLine="0"/>
    </w:pPr>
    <w:rPr>
      <w:rFonts w:ascii="Times New Roman" w:eastAsia="方正仿宋_GBK"/>
      <w:sz w:val="21"/>
    </w:rPr>
  </w:style>
  <w:style w:type="paragraph" w:customStyle="1" w:styleId="145">
    <w:name w:val="正文 + 三号"/>
    <w:basedOn w:val="1"/>
    <w:next w:val="146"/>
    <w:uiPriority w:val="0"/>
    <w:pPr>
      <w:widowControl w:val="0"/>
      <w:autoSpaceDE/>
      <w:autoSpaceDN/>
      <w:spacing w:before="0" w:beforeLines="0" w:after="0" w:afterLines="0" w:line="240" w:lineRule="auto"/>
      <w:ind w:left="0" w:firstLine="0"/>
      <w:jc w:val="both"/>
    </w:pPr>
    <w:rPr>
      <w:rFonts w:ascii="Times New Roman" w:eastAsia="宋体"/>
      <w:sz w:val="21"/>
    </w:rPr>
  </w:style>
  <w:style w:type="paragraph" w:customStyle="1" w:styleId="146">
    <w:name w:val="样式 标题 6第五层条 + 三号 段前: 0.5 行"/>
    <w:basedOn w:val="8"/>
    <w:next w:val="147"/>
    <w:uiPriority w:val="0"/>
    <w:pPr>
      <w:widowControl/>
      <w:autoSpaceDE/>
      <w:autoSpaceDN/>
      <w:spacing w:before="156" w:beforeLines="0" w:after="64" w:afterLines="0" w:line="317" w:lineRule="auto"/>
      <w:ind w:left="1152" w:hanging="1152"/>
      <w:outlineLvl w:val="5"/>
    </w:pPr>
    <w:rPr>
      <w:rFonts w:ascii="Arial" w:eastAsia="黑体"/>
      <w:sz w:val="28"/>
    </w:rPr>
  </w:style>
  <w:style w:type="paragraph" w:customStyle="1" w:styleId="147">
    <w:name w:val="文本框样式1"/>
    <w:basedOn w:val="1"/>
    <w:next w:val="63"/>
    <w:uiPriority w:val="0"/>
    <w:pPr>
      <w:widowControl w:val="0"/>
      <w:autoSpaceDE/>
      <w:autoSpaceDN/>
      <w:spacing w:before="60" w:beforeLines="0" w:after="0" w:afterLines="0" w:line="180" w:lineRule="exact"/>
      <w:ind w:left="0" w:firstLine="0"/>
      <w:jc w:val="center"/>
    </w:pPr>
    <w:rPr>
      <w:rFonts w:ascii="Times New Roman" w:eastAsia="宋体"/>
      <w:sz w:val="21"/>
    </w:rPr>
  </w:style>
  <w:style w:type="paragraph" w:customStyle="1" w:styleId="148">
    <w:name w:val="目录 41"/>
    <w:basedOn w:val="1"/>
    <w:next w:val="1"/>
    <w:uiPriority w:val="0"/>
    <w:pPr>
      <w:widowControl w:val="0"/>
      <w:autoSpaceDE/>
      <w:autoSpaceDN/>
      <w:spacing w:before="0" w:beforeLines="0" w:after="0" w:afterLines="0" w:line="240" w:lineRule="auto"/>
      <w:ind w:left="1260" w:firstLine="0"/>
      <w:jc w:val="both"/>
    </w:pPr>
    <w:rPr>
      <w:rFonts w:ascii="Times New Roman" w:eastAsia="宋体"/>
      <w:sz w:val="28"/>
    </w:rPr>
  </w:style>
  <w:style w:type="paragraph" w:customStyle="1" w:styleId="149">
    <w:name w:val="xl40"/>
    <w:basedOn w:val="1"/>
    <w:next w:val="150"/>
    <w:uiPriority w:val="0"/>
    <w:pPr>
      <w:widowControl/>
      <w:autoSpaceDE/>
      <w:autoSpaceDN/>
      <w:spacing w:before="280" w:beforeLines="0" w:after="280" w:afterLines="0" w:line="240" w:lineRule="auto"/>
      <w:ind w:left="0" w:firstLine="0"/>
      <w:jc w:val="center"/>
    </w:pPr>
    <w:rPr>
      <w:rFonts w:ascii="宋体" w:eastAsia="宋体"/>
      <w:sz w:val="24"/>
    </w:rPr>
  </w:style>
  <w:style w:type="paragraph" w:customStyle="1" w:styleId="150">
    <w:name w:val="Char Char Char1"/>
    <w:basedOn w:val="1"/>
    <w:next w:val="96"/>
    <w:qFormat/>
    <w:uiPriority w:val="0"/>
    <w:rPr>
      <w:rFonts w:ascii="Tahoma"/>
      <w:sz w:val="24"/>
    </w:rPr>
  </w:style>
  <w:style w:type="paragraph" w:customStyle="1" w:styleId="151">
    <w:name w:val="首行缩进 1"/>
    <w:basedOn w:val="1"/>
    <w:next w:val="32"/>
    <w:uiPriority w:val="0"/>
    <w:pPr>
      <w:widowControl w:val="0"/>
      <w:autoSpaceDE/>
      <w:autoSpaceDN/>
      <w:spacing w:before="0" w:beforeLines="0" w:after="120" w:afterLines="0" w:line="360" w:lineRule="auto"/>
      <w:ind w:left="0" w:firstLine="200"/>
      <w:jc w:val="both"/>
    </w:pPr>
    <w:rPr>
      <w:rFonts w:ascii="Times New Roman" w:eastAsia="宋体"/>
      <w:sz w:val="24"/>
    </w:rPr>
  </w:style>
  <w:style w:type="paragraph" w:customStyle="1" w:styleId="152">
    <w:name w:val="tabletext"/>
    <w:basedOn w:val="1"/>
    <w:next w:val="110"/>
    <w:uiPriority w:val="0"/>
    <w:pPr>
      <w:widowControl/>
      <w:autoSpaceDE/>
      <w:autoSpaceDN/>
      <w:spacing w:before="280" w:beforeLines="0" w:after="280" w:afterLines="0" w:line="240" w:lineRule="auto"/>
      <w:ind w:left="0" w:firstLine="0"/>
    </w:pPr>
    <w:rPr>
      <w:rFonts w:ascii="宋体" w:eastAsia="宋体"/>
      <w:sz w:val="24"/>
    </w:rPr>
  </w:style>
  <w:style w:type="paragraph" w:customStyle="1" w:styleId="153">
    <w:name w:val="content"/>
    <w:basedOn w:val="1"/>
    <w:next w:val="154"/>
    <w:uiPriority w:val="0"/>
    <w:pPr>
      <w:widowControl/>
      <w:autoSpaceDE/>
      <w:autoSpaceDN/>
      <w:spacing w:before="280" w:beforeLines="0" w:after="280" w:afterLines="0" w:line="280" w:lineRule="atLeast"/>
      <w:ind w:left="0" w:firstLine="375"/>
    </w:pPr>
    <w:rPr>
      <w:rFonts w:ascii="宋体" w:eastAsia="宋体"/>
      <w:color w:val="000000"/>
      <w:sz w:val="18"/>
    </w:rPr>
  </w:style>
  <w:style w:type="paragraph" w:customStyle="1" w:styleId="154">
    <w:name w:val="列表项目"/>
    <w:basedOn w:val="1"/>
    <w:next w:val="61"/>
    <w:uiPriority w:val="0"/>
    <w:pPr>
      <w:widowControl w:val="0"/>
      <w:autoSpaceDE/>
      <w:autoSpaceDN/>
      <w:spacing w:before="0" w:beforeLines="0" w:after="0" w:afterLines="0" w:line="288" w:lineRule="auto"/>
      <w:ind w:left="840" w:hanging="420"/>
      <w:jc w:val="both"/>
    </w:pPr>
    <w:rPr>
      <w:rFonts w:ascii="Times New Roman" w:eastAsia="宋体"/>
      <w:sz w:val="21"/>
    </w:rPr>
  </w:style>
  <w:style w:type="paragraph" w:customStyle="1" w:styleId="155">
    <w:name w:val="标题3——2"/>
    <w:basedOn w:val="5"/>
    <w:next w:val="64"/>
    <w:uiPriority w:val="0"/>
    <w:pPr>
      <w:widowControl w:val="0"/>
      <w:autoSpaceDE/>
      <w:autoSpaceDN/>
      <w:spacing w:before="312" w:beforeLines="0" w:after="0" w:afterLines="0" w:line="240" w:lineRule="auto"/>
      <w:ind w:left="851" w:hanging="851"/>
      <w:jc w:val="both"/>
    </w:pPr>
    <w:rPr>
      <w:rFonts w:ascii="黑体" w:eastAsia="黑体"/>
      <w:sz w:val="30"/>
    </w:rPr>
  </w:style>
  <w:style w:type="paragraph" w:customStyle="1" w:styleId="156">
    <w:name w:val=" Char"/>
    <w:basedOn w:val="1"/>
    <w:next w:val="109"/>
    <w:uiPriority w:val="0"/>
    <w:pPr>
      <w:widowControl w:val="0"/>
      <w:autoSpaceDE/>
      <w:autoSpaceDN/>
      <w:spacing w:before="0" w:beforeLines="0" w:after="0" w:afterLines="0" w:line="240" w:lineRule="atLeast"/>
      <w:ind w:left="420" w:firstLine="420"/>
      <w:jc w:val="both"/>
    </w:pPr>
    <w:rPr>
      <w:rFonts w:ascii="Times New Roman" w:eastAsia="宋体"/>
      <w:sz w:val="21"/>
    </w:rPr>
  </w:style>
  <w:style w:type="paragraph" w:customStyle="1" w:styleId="157">
    <w:name w:val="正文格式 Char"/>
    <w:basedOn w:val="1"/>
    <w:next w:val="23"/>
    <w:uiPriority w:val="0"/>
    <w:pPr>
      <w:widowControl/>
      <w:autoSpaceDE/>
      <w:autoSpaceDN/>
      <w:spacing w:before="0" w:beforeLines="0" w:after="0" w:afterLines="0" w:line="440" w:lineRule="atLeast"/>
      <w:ind w:left="0" w:firstLine="510"/>
      <w:jc w:val="both"/>
    </w:pPr>
    <w:rPr>
      <w:rFonts w:ascii="Times New Roman" w:eastAsia="宋体"/>
      <w:sz w:val="24"/>
    </w:rPr>
  </w:style>
  <w:style w:type="paragraph" w:customStyle="1" w:styleId="158">
    <w:name w:val="正文字缩2字"/>
    <w:basedOn w:val="1"/>
    <w:next w:val="159"/>
    <w:uiPriority w:val="0"/>
    <w:pPr>
      <w:widowControl w:val="0"/>
      <w:autoSpaceDE/>
      <w:autoSpaceDN/>
      <w:spacing w:before="60" w:beforeLines="0" w:after="60" w:afterLines="0" w:line="360" w:lineRule="auto"/>
      <w:ind w:left="200" w:firstLine="200"/>
      <w:jc w:val="both"/>
    </w:pPr>
    <w:rPr>
      <w:rFonts w:ascii="Times New Roman" w:eastAsia="宋体"/>
      <w:sz w:val="24"/>
    </w:rPr>
  </w:style>
  <w:style w:type="paragraph" w:customStyle="1" w:styleId="159">
    <w:name w:val="二级列表"/>
    <w:next w:val="81"/>
    <w:uiPriority w:val="0"/>
    <w:pPr>
      <w:widowControl w:val="0"/>
      <w:spacing w:before="156" w:line="360" w:lineRule="auto"/>
      <w:jc w:val="both"/>
    </w:pPr>
    <w:rPr>
      <w:b/>
      <w:sz w:val="24"/>
      <w:lang w:val="en-US" w:eastAsia="zh-CN" w:bidi="ar-SA"/>
    </w:rPr>
  </w:style>
  <w:style w:type="paragraph" w:customStyle="1" w:styleId="160">
    <w:name w:val=" Char1"/>
    <w:basedOn w:val="1"/>
    <w:next w:val="155"/>
    <w:uiPriority w:val="0"/>
    <w:pPr>
      <w:widowControl w:val="0"/>
      <w:autoSpaceDE/>
      <w:autoSpaceDN/>
      <w:spacing w:before="0" w:beforeLines="0" w:after="0" w:afterLines="0" w:line="240" w:lineRule="auto"/>
      <w:ind w:left="0" w:firstLine="0"/>
      <w:jc w:val="both"/>
    </w:pPr>
    <w:rPr>
      <w:rFonts w:ascii="Times New Roman" w:eastAsia="宋体"/>
      <w:sz w:val="21"/>
    </w:rPr>
  </w:style>
  <w:style w:type="paragraph" w:styleId="161">
    <w:name w:val=""/>
    <w:next w:val="1"/>
    <w:qFormat/>
    <w:uiPriority w:val="0"/>
    <w:pPr>
      <w:wordWrap w:val="0"/>
    </w:pPr>
    <w:rPr>
      <w:sz w:val="32"/>
      <w:lang w:val="en-US" w:eastAsia="zh-CN" w:bidi="ar-SA"/>
    </w:rPr>
  </w:style>
  <w:style w:type="paragraph" w:customStyle="1" w:styleId="162">
    <w:name w:val="Pull Quote"/>
    <w:basedOn w:val="1"/>
    <w:next w:val="83"/>
    <w:uiPriority w:val="0"/>
    <w:pPr>
      <w:widowControl w:val="0"/>
      <w:shd w:val="pct10" w:color="000000" w:fill="auto"/>
      <w:autoSpaceDE/>
      <w:autoSpaceDN/>
      <w:spacing w:before="120" w:beforeLines="0" w:after="240" w:afterLines="0" w:line="288" w:lineRule="auto"/>
      <w:ind w:left="144" w:right="144" w:firstLine="0"/>
      <w:jc w:val="center"/>
    </w:pPr>
    <w:rPr>
      <w:rFonts w:ascii="Times New Roman" w:eastAsia="宋体"/>
      <w:b/>
      <w:i/>
      <w:sz w:val="24"/>
    </w:rPr>
  </w:style>
  <w:style w:type="paragraph" w:customStyle="1" w:styleId="163">
    <w:name w:val="1.正文"/>
    <w:basedOn w:val="1"/>
    <w:next w:val="113"/>
    <w:uiPriority w:val="0"/>
    <w:pPr>
      <w:widowControl w:val="0"/>
      <w:autoSpaceDE/>
      <w:autoSpaceDN/>
      <w:spacing w:before="0" w:beforeLines="0" w:after="0" w:afterLines="0" w:line="360" w:lineRule="auto"/>
      <w:ind w:left="540" w:firstLine="540"/>
      <w:jc w:val="both"/>
    </w:pPr>
    <w:rPr>
      <w:rFonts w:ascii="Times New Roman" w:eastAsia="宋体"/>
      <w:sz w:val="24"/>
    </w:rPr>
  </w:style>
  <w:style w:type="paragraph" w:styleId="164">
    <w:name w:val="Intense Quote"/>
    <w:next w:val="1"/>
    <w:qFormat/>
    <w:uiPriority w:val="0"/>
    <w:pPr>
      <w:wordWrap w:val="0"/>
      <w:spacing w:before="360" w:after="360"/>
      <w:ind w:left="950" w:right="950"/>
      <w:jc w:val="center"/>
    </w:pPr>
    <w:rPr>
      <w:i/>
      <w:sz w:val="21"/>
      <w:lang w:val="en-US" w:eastAsia="zh-CN" w:bidi="ar-SA"/>
    </w:rPr>
  </w:style>
  <w:style w:type="paragraph" w:customStyle="1" w:styleId="165">
    <w:name w:val="Char Char1 Char Char Char Char Char Char Char Char"/>
    <w:basedOn w:val="1"/>
    <w:next w:val="28"/>
    <w:uiPriority w:val="0"/>
    <w:pPr>
      <w:widowControl/>
      <w:autoSpaceDE/>
      <w:autoSpaceDN/>
      <w:spacing w:before="0" w:beforeLines="0" w:after="160" w:afterLines="0" w:line="240" w:lineRule="exact"/>
      <w:ind w:left="0" w:firstLine="0"/>
    </w:pPr>
    <w:rPr>
      <w:rFonts w:ascii="Verdana" w:eastAsia="宋体"/>
      <w:sz w:val="20"/>
    </w:rPr>
  </w:style>
  <w:style w:type="paragraph" w:customStyle="1" w:styleId="166">
    <w:name w:val="文档正文"/>
    <w:basedOn w:val="1"/>
    <w:next w:val="115"/>
    <w:uiPriority w:val="0"/>
    <w:pPr>
      <w:widowControl w:val="0"/>
      <w:autoSpaceDE/>
      <w:autoSpaceDN/>
      <w:spacing w:before="0" w:beforeLines="0" w:after="0" w:afterLines="0" w:line="440" w:lineRule="exact"/>
      <w:ind w:left="0" w:firstLine="567"/>
      <w:jc w:val="both"/>
    </w:pPr>
    <w:rPr>
      <w:rFonts w:ascii="Arial Narrow" w:eastAsia="宋体"/>
      <w:sz w:val="24"/>
    </w:rPr>
  </w:style>
  <w:style w:type="paragraph" w:customStyle="1" w:styleId="167">
    <w:name w:val="标书正文1"/>
    <w:basedOn w:val="1"/>
    <w:qFormat/>
    <w:uiPriority w:val="0"/>
    <w:pPr>
      <w:spacing w:line="520" w:lineRule="exact"/>
      <w:ind w:firstLine="640" w:firstLineChars="200"/>
    </w:pPr>
    <w:rPr>
      <w:rFonts w:ascii="Times New Roman" w:hAnsi="Times New Roman" w:eastAsia="宋体"/>
    </w:rPr>
  </w:style>
  <w:style w:type="paragraph" w:customStyle="1" w:styleId="168">
    <w:name w:val="表头样式"/>
    <w:basedOn w:val="1"/>
    <w:next w:val="145"/>
    <w:uiPriority w:val="0"/>
    <w:pPr>
      <w:widowControl w:val="0"/>
      <w:autoSpaceDE w:val="0"/>
      <w:autoSpaceDN w:val="0"/>
      <w:spacing w:before="0" w:beforeLines="0" w:after="0" w:afterLines="0" w:line="360" w:lineRule="auto"/>
      <w:ind w:left="0" w:firstLine="0"/>
    </w:pPr>
    <w:rPr>
      <w:rFonts w:ascii="Times New Roman" w:eastAsia="宋体"/>
      <w:b/>
      <w:sz w:val="21"/>
    </w:rPr>
  </w:style>
  <w:style w:type="paragraph" w:customStyle="1" w:styleId="169">
    <w:name w:val=" Char Char Char Char Char"/>
    <w:basedOn w:val="1"/>
    <w:next w:val="98"/>
    <w:uiPriority w:val="0"/>
    <w:pPr>
      <w:widowControl w:val="0"/>
      <w:autoSpaceDE/>
      <w:autoSpaceDN/>
      <w:spacing w:before="0" w:beforeLines="0" w:after="0" w:afterLines="0" w:line="240" w:lineRule="auto"/>
      <w:ind w:left="425" w:hanging="425"/>
      <w:jc w:val="both"/>
    </w:pPr>
    <w:rPr>
      <w:rFonts w:ascii="Tahoma" w:eastAsia="宋体"/>
      <w:sz w:val="24"/>
    </w:rPr>
  </w:style>
  <w:style w:type="paragraph" w:customStyle="1" w:styleId="170">
    <w:name w:val="样式 样式 首行缩进:  2 字符 + 首行缩进:  2 字符"/>
    <w:basedOn w:val="1"/>
    <w:next w:val="131"/>
    <w:uiPriority w:val="0"/>
    <w:pPr>
      <w:widowControl w:val="0"/>
      <w:autoSpaceDE/>
      <w:autoSpaceDN/>
      <w:spacing w:before="0" w:beforeLines="0" w:after="0" w:afterLines="0" w:line="360" w:lineRule="auto"/>
      <w:ind w:left="0" w:firstLine="480"/>
      <w:jc w:val="both"/>
    </w:pPr>
    <w:rPr>
      <w:rFonts w:ascii="Times New Roman" w:eastAsia="宋体"/>
      <w:sz w:val="24"/>
    </w:rPr>
  </w:style>
  <w:style w:type="paragraph" w:customStyle="1" w:styleId="171">
    <w:name w:val="表格文本"/>
    <w:next w:val="151"/>
    <w:uiPriority w:val="0"/>
    <w:rPr>
      <w:rFonts w:ascii="Arial"/>
      <w:sz w:val="21"/>
      <w:lang w:val="en-US" w:eastAsia="zh-CN" w:bidi="ar-SA"/>
    </w:rPr>
  </w:style>
  <w:style w:type="paragraph" w:customStyle="1" w:styleId="172">
    <w:name w:val="样式 样式 正文首行缩进 2 + 左  0 字符 + 首行缩进:  2.57 字符"/>
    <w:basedOn w:val="1"/>
    <w:next w:val="1"/>
    <w:uiPriority w:val="0"/>
    <w:pPr>
      <w:widowControl w:val="0"/>
      <w:autoSpaceDE/>
      <w:autoSpaceDN/>
      <w:spacing w:before="0" w:beforeLines="0" w:after="120" w:afterLines="0" w:line="240" w:lineRule="auto"/>
      <w:ind w:left="0" w:firstLine="540"/>
      <w:jc w:val="both"/>
    </w:pPr>
    <w:rPr>
      <w:rFonts w:ascii="Times New Roman" w:eastAsia="宋体"/>
      <w:sz w:val="21"/>
    </w:rPr>
  </w:style>
  <w:style w:type="paragraph" w:customStyle="1" w:styleId="173">
    <w:name w:val="正文（首行不缩进）"/>
    <w:basedOn w:val="1"/>
    <w:next w:val="88"/>
    <w:uiPriority w:val="0"/>
    <w:pPr>
      <w:widowControl w:val="0"/>
      <w:autoSpaceDE w:val="0"/>
      <w:autoSpaceDN w:val="0"/>
      <w:spacing w:before="0" w:beforeLines="0" w:after="0" w:afterLines="0" w:line="360" w:lineRule="auto"/>
      <w:ind w:left="0" w:firstLine="0"/>
    </w:pPr>
    <w:rPr>
      <w:rFonts w:ascii="Times New Roman" w:eastAsia="宋体"/>
      <w:sz w:val="21"/>
    </w:rPr>
  </w:style>
  <w:style w:type="paragraph" w:customStyle="1" w:styleId="174">
    <w:name w:val="标题无"/>
    <w:basedOn w:val="1"/>
    <w:next w:val="175"/>
    <w:uiPriority w:val="0"/>
    <w:pPr>
      <w:widowControl w:val="0"/>
      <w:autoSpaceDE/>
      <w:autoSpaceDN/>
      <w:spacing w:before="0" w:beforeLines="0" w:after="0" w:afterLines="0" w:line="360" w:lineRule="auto"/>
      <w:ind w:left="0" w:firstLine="0"/>
      <w:jc w:val="both"/>
    </w:pPr>
    <w:rPr>
      <w:rFonts w:ascii="Times New Roman" w:eastAsia="宋体"/>
      <w:sz w:val="24"/>
    </w:rPr>
  </w:style>
  <w:style w:type="paragraph" w:customStyle="1" w:styleId="175">
    <w:name w:val="表格内文字"/>
    <w:next w:val="12"/>
    <w:uiPriority w:val="0"/>
    <w:pPr>
      <w:widowControl w:val="0"/>
      <w:jc w:val="both"/>
    </w:pPr>
    <w:rPr>
      <w:color w:val="000000"/>
      <w:sz w:val="21"/>
      <w:lang w:val="en-US" w:eastAsia="zh-CN" w:bidi="ar-SA"/>
    </w:rPr>
  </w:style>
  <w:style w:type="paragraph" w:customStyle="1" w:styleId="176">
    <w:name w:val="Style Heading 3h3Heading 3 - oldLevel 3 HeadH3level_3PIM 3se..."/>
    <w:basedOn w:val="5"/>
    <w:next w:val="90"/>
    <w:uiPriority w:val="0"/>
    <w:pPr>
      <w:widowControl w:val="0"/>
      <w:autoSpaceDE/>
      <w:autoSpaceDN/>
      <w:spacing w:before="260" w:beforeLines="0" w:after="260" w:afterLines="0" w:line="413" w:lineRule="auto"/>
      <w:ind w:left="709" w:hanging="709"/>
      <w:jc w:val="both"/>
      <w:outlineLvl w:val="2"/>
    </w:pPr>
    <w:rPr>
      <w:rFonts w:ascii="Times New Roman" w:eastAsia="宋体"/>
      <w:sz w:val="32"/>
    </w:rPr>
  </w:style>
  <w:style w:type="paragraph" w:customStyle="1" w:styleId="177">
    <w:name w:val="没有缩进（为图形使用）"/>
    <w:basedOn w:val="1"/>
    <w:next w:val="178"/>
    <w:uiPriority w:val="0"/>
    <w:pPr>
      <w:widowControl w:val="0"/>
      <w:autoSpaceDE/>
      <w:autoSpaceDN/>
      <w:spacing w:before="120" w:beforeLines="0" w:after="120" w:afterLines="0" w:line="360" w:lineRule="auto"/>
      <w:ind w:left="0" w:firstLine="0"/>
      <w:jc w:val="both"/>
    </w:pPr>
    <w:rPr>
      <w:rFonts w:ascii="Times New Roman" w:eastAsia="宋体"/>
      <w:sz w:val="24"/>
    </w:rPr>
  </w:style>
  <w:style w:type="paragraph" w:customStyle="1" w:styleId="178">
    <w:name w:val="默认段落字体 Para Char Char Char Char Char Char Char Char Char1 Char Char Char Char"/>
    <w:basedOn w:val="1"/>
    <w:next w:val="179"/>
    <w:uiPriority w:val="0"/>
    <w:pPr>
      <w:widowControl w:val="0"/>
      <w:autoSpaceDE/>
      <w:autoSpaceDN/>
      <w:spacing w:before="0" w:beforeLines="0" w:after="0" w:afterLines="0" w:line="240" w:lineRule="auto"/>
      <w:ind w:left="0" w:firstLine="0"/>
      <w:jc w:val="both"/>
    </w:pPr>
    <w:rPr>
      <w:rFonts w:ascii="Tahoma" w:eastAsia="宋体"/>
      <w:sz w:val="24"/>
    </w:rPr>
  </w:style>
  <w:style w:type="paragraph" w:customStyle="1" w:styleId="179">
    <w:name w:val="style1"/>
    <w:basedOn w:val="1"/>
    <w:next w:val="176"/>
    <w:uiPriority w:val="0"/>
    <w:pPr>
      <w:widowControl/>
      <w:autoSpaceDE/>
      <w:autoSpaceDN/>
      <w:spacing w:before="280" w:beforeLines="0" w:after="280" w:afterLines="0" w:line="240" w:lineRule="auto"/>
      <w:ind w:left="0" w:firstLine="0"/>
    </w:pPr>
    <w:rPr>
      <w:rFonts w:ascii="宋体" w:eastAsia="宋体"/>
      <w:sz w:val="21"/>
    </w:rPr>
  </w:style>
  <w:style w:type="paragraph" w:customStyle="1" w:styleId="180">
    <w:name w:val="表文字"/>
    <w:next w:val="156"/>
    <w:uiPriority w:val="0"/>
    <w:rPr>
      <w:lang w:val="en-US" w:eastAsia="zh-CN" w:bidi="ar-SA"/>
    </w:rPr>
  </w:style>
  <w:style w:type="paragraph" w:customStyle="1" w:styleId="181">
    <w:name w:val="样式 标题 1章标题Heading 0Section HeadPIM 1H1h11st levell11H1..."/>
    <w:basedOn w:val="3"/>
    <w:next w:val="96"/>
    <w:uiPriority w:val="0"/>
    <w:pPr>
      <w:widowControl w:val="0"/>
      <w:autoSpaceDE w:val="0"/>
      <w:autoSpaceDN w:val="0"/>
      <w:spacing w:before="340" w:beforeLines="0" w:after="330" w:afterLines="0" w:line="578" w:lineRule="atLeast"/>
      <w:ind w:left="0" w:firstLine="0"/>
      <w:jc w:val="both"/>
      <w:outlineLvl w:val="0"/>
    </w:pPr>
    <w:rPr>
      <w:rFonts w:ascii="宋体" w:eastAsia="黑体"/>
      <w:b/>
      <w:sz w:val="36"/>
    </w:rPr>
  </w:style>
  <w:style w:type="paragraph" w:customStyle="1" w:styleId="182">
    <w:name w:val=" Char Char Char Char Char Char Char"/>
    <w:basedOn w:val="1"/>
    <w:next w:val="183"/>
    <w:uiPriority w:val="0"/>
    <w:pPr>
      <w:widowControl/>
      <w:autoSpaceDE/>
      <w:autoSpaceDN/>
      <w:spacing w:before="0" w:beforeLines="0" w:after="160" w:afterLines="0" w:line="240" w:lineRule="exact"/>
      <w:ind w:left="0" w:firstLine="0"/>
    </w:pPr>
    <w:rPr>
      <w:rFonts w:ascii="Verdana" w:eastAsia="仿宋_GB2312"/>
      <w:sz w:val="24"/>
    </w:rPr>
  </w:style>
  <w:style w:type="paragraph" w:customStyle="1" w:styleId="183">
    <w:name w:val="默认段落字体 Para Char Char Char Char Char Char Char"/>
    <w:basedOn w:val="1"/>
    <w:next w:val="184"/>
    <w:uiPriority w:val="0"/>
    <w:pPr>
      <w:widowControl w:val="0"/>
      <w:autoSpaceDE/>
      <w:autoSpaceDN/>
      <w:spacing w:before="0" w:beforeLines="0" w:after="0" w:afterLines="0" w:line="240" w:lineRule="auto"/>
      <w:ind w:left="0" w:firstLine="0"/>
      <w:jc w:val="both"/>
    </w:pPr>
    <w:rPr>
      <w:rFonts w:ascii="Tahoma" w:eastAsia="宋体"/>
      <w:sz w:val="24"/>
    </w:rPr>
  </w:style>
  <w:style w:type="paragraph" w:customStyle="1" w:styleId="184">
    <w:name w:val="表头文本"/>
    <w:next w:val="185"/>
    <w:uiPriority w:val="0"/>
    <w:pPr>
      <w:jc w:val="center"/>
    </w:pPr>
    <w:rPr>
      <w:rFonts w:ascii="Arial"/>
      <w:b/>
      <w:sz w:val="21"/>
      <w:lang w:val="en-US" w:eastAsia="zh-CN" w:bidi="ar-SA"/>
    </w:rPr>
  </w:style>
  <w:style w:type="paragraph" w:customStyle="1" w:styleId="185">
    <w:name w:val="样式 宋体 五号 行距: 单倍行距"/>
    <w:basedOn w:val="1"/>
    <w:next w:val="165"/>
    <w:uiPriority w:val="0"/>
    <w:pPr>
      <w:widowControl w:val="0"/>
      <w:autoSpaceDE/>
      <w:autoSpaceDN/>
      <w:spacing w:before="0" w:beforeLines="0" w:after="0" w:afterLines="0" w:line="240" w:lineRule="auto"/>
      <w:ind w:left="0" w:firstLine="0"/>
    </w:pPr>
    <w:rPr>
      <w:rFonts w:ascii="宋体" w:eastAsia="宋体"/>
      <w:sz w:val="21"/>
    </w:rPr>
  </w:style>
  <w:style w:type="paragraph" w:customStyle="1" w:styleId="186">
    <w:name w:val="00"/>
    <w:basedOn w:val="1"/>
    <w:next w:val="182"/>
    <w:uiPriority w:val="0"/>
    <w:pPr>
      <w:widowControl w:val="0"/>
      <w:autoSpaceDE w:val="0"/>
      <w:autoSpaceDN w:val="0"/>
      <w:spacing w:before="0" w:beforeLines="0" w:after="0" w:afterLines="0" w:line="240" w:lineRule="auto"/>
      <w:ind w:left="0" w:firstLine="0"/>
    </w:pPr>
    <w:rPr>
      <w:rFonts w:ascii="黑体" w:eastAsia="黑体"/>
      <w:b/>
      <w:sz w:val="20"/>
    </w:rPr>
  </w:style>
  <w:style w:type="paragraph" w:customStyle="1" w:styleId="187">
    <w:name w:val="Table Text Char Char"/>
    <w:next w:val="15"/>
    <w:uiPriority w:val="0"/>
    <w:pPr>
      <w:spacing w:before="80" w:after="80"/>
    </w:pPr>
    <w:rPr>
      <w:rFonts w:ascii="Arial"/>
      <w:sz w:val="18"/>
      <w:lang w:val="en-US" w:eastAsia="zh-CN" w:bidi="ar-SA"/>
    </w:rPr>
  </w:style>
  <w:style w:type="paragraph" w:customStyle="1" w:styleId="188">
    <w:name w:val="Table Heading"/>
    <w:next w:val="97"/>
    <w:uiPriority w:val="0"/>
    <w:pPr>
      <w:spacing w:before="80" w:after="80"/>
      <w:jc w:val="center"/>
    </w:pPr>
    <w:rPr>
      <w:rFonts w:ascii="Arial" w:eastAsia="黑体"/>
      <w:sz w:val="18"/>
      <w:lang w:val="en-US" w:eastAsia="zh-CN" w:bidi="ar-SA"/>
    </w:rPr>
  </w:style>
  <w:style w:type="paragraph" w:customStyle="1" w:styleId="189">
    <w:name w:val="缺省文本"/>
    <w:basedOn w:val="1"/>
    <w:next w:val="177"/>
    <w:uiPriority w:val="0"/>
    <w:pPr>
      <w:widowControl w:val="0"/>
      <w:autoSpaceDE w:val="0"/>
      <w:autoSpaceDN w:val="0"/>
      <w:spacing w:before="0" w:beforeLines="0" w:after="0" w:afterLines="0" w:line="360" w:lineRule="auto"/>
      <w:ind w:left="0" w:firstLine="0"/>
    </w:pPr>
    <w:rPr>
      <w:rFonts w:ascii="Times New Roman" w:eastAsia="宋体"/>
      <w:sz w:val="24"/>
    </w:rPr>
  </w:style>
  <w:style w:type="paragraph" w:customStyle="1" w:styleId="190">
    <w:name w:val="_"/>
    <w:basedOn w:val="1"/>
    <w:next w:val="134"/>
    <w:uiPriority w:val="0"/>
    <w:pPr>
      <w:widowControl w:val="0"/>
      <w:autoSpaceDE/>
      <w:autoSpaceDN/>
      <w:spacing w:before="0" w:beforeLines="0" w:after="0" w:afterLines="0" w:line="360" w:lineRule="auto"/>
      <w:ind w:left="480" w:firstLine="200"/>
      <w:jc w:val="both"/>
    </w:pPr>
    <w:rPr>
      <w:rFonts w:ascii="Times New Roman" w:eastAsia="宋体"/>
      <w:sz w:val="24"/>
    </w:rPr>
  </w:style>
  <w:style w:type="paragraph" w:customStyle="1" w:styleId="191">
    <w:name w:val="文档正文 Char Char Char Char"/>
    <w:basedOn w:val="1"/>
    <w:next w:val="160"/>
    <w:uiPriority w:val="0"/>
    <w:pPr>
      <w:widowControl w:val="0"/>
      <w:autoSpaceDE/>
      <w:autoSpaceDN/>
      <w:spacing w:before="0" w:beforeLines="0" w:after="0" w:afterLines="0" w:line="440" w:lineRule="exact"/>
      <w:ind w:left="0" w:firstLine="420"/>
      <w:jc w:val="both"/>
    </w:pPr>
    <w:rPr>
      <w:rFonts w:ascii="Arial Narrow" w:eastAsia="宋体"/>
      <w:sz w:val="24"/>
    </w:rPr>
  </w:style>
  <w:style w:type="paragraph" w:customStyle="1" w:styleId="192">
    <w:name w:val="操作步骤"/>
    <w:basedOn w:val="1"/>
    <w:next w:val="172"/>
    <w:uiPriority w:val="0"/>
    <w:pPr>
      <w:widowControl w:val="0"/>
      <w:autoSpaceDE w:val="0"/>
      <w:autoSpaceDN w:val="0"/>
      <w:spacing w:before="0" w:beforeLines="0" w:after="0" w:afterLines="0" w:line="40" w:lineRule="atLeast"/>
      <w:ind w:left="425" w:hanging="425"/>
      <w:jc w:val="both"/>
    </w:pPr>
    <w:rPr>
      <w:rFonts w:ascii="昆仑楷体" w:eastAsia="楷体_GB2312"/>
      <w:sz w:val="21"/>
    </w:rPr>
  </w:style>
  <w:style w:type="paragraph" w:customStyle="1" w:styleId="193">
    <w:name w:val="Body Text Indent 2"/>
    <w:basedOn w:val="1"/>
    <w:next w:val="194"/>
    <w:uiPriority w:val="0"/>
    <w:pPr>
      <w:widowControl w:val="0"/>
      <w:autoSpaceDE/>
      <w:autoSpaceDN/>
      <w:spacing w:before="120" w:beforeLines="0" w:after="0" w:afterLines="0" w:line="240" w:lineRule="auto"/>
      <w:ind w:left="0" w:firstLine="420"/>
      <w:jc w:val="both"/>
    </w:pPr>
    <w:rPr>
      <w:rFonts w:ascii="Times New Roman" w:eastAsia="宋体"/>
      <w:sz w:val="24"/>
    </w:rPr>
  </w:style>
  <w:style w:type="paragraph" w:customStyle="1" w:styleId="194">
    <w:name w:val=" Char Char1 Char Char Char Char Char Char Char Char Char Char Char Char Char Char"/>
    <w:basedOn w:val="1"/>
    <w:next w:val="171"/>
    <w:uiPriority w:val="0"/>
    <w:pPr>
      <w:widowControl/>
      <w:autoSpaceDE/>
      <w:autoSpaceDN/>
      <w:spacing w:before="0" w:beforeLines="0" w:after="160" w:afterLines="0" w:line="240" w:lineRule="exact"/>
      <w:ind w:left="0" w:firstLine="0"/>
    </w:pPr>
    <w:rPr>
      <w:rFonts w:ascii="Verdana" w:eastAsia="宋体"/>
      <w:sz w:val="20"/>
    </w:rPr>
  </w:style>
  <w:style w:type="paragraph" w:customStyle="1" w:styleId="195">
    <w:name w:val="附录4"/>
    <w:basedOn w:val="1"/>
    <w:next w:val="1"/>
    <w:uiPriority w:val="0"/>
    <w:pPr>
      <w:widowControl/>
      <w:autoSpaceDE/>
      <w:autoSpaceDN/>
      <w:spacing w:before="0" w:beforeLines="0" w:after="0" w:afterLines="0" w:line="300" w:lineRule="auto"/>
      <w:ind w:left="1361" w:hanging="1361"/>
      <w:jc w:val="both"/>
      <w:outlineLvl w:val="3"/>
    </w:pPr>
    <w:rPr>
      <w:rFonts w:ascii="Arial" w:eastAsia="黑体"/>
      <w:sz w:val="28"/>
    </w:rPr>
  </w:style>
  <w:style w:type="paragraph" w:customStyle="1" w:styleId="196">
    <w:name w:val="样式 宋体 五号 两端对齐 行距: 单倍行距"/>
    <w:basedOn w:val="1"/>
    <w:next w:val="108"/>
    <w:uiPriority w:val="0"/>
    <w:pPr>
      <w:widowControl w:val="0"/>
      <w:autoSpaceDE/>
      <w:autoSpaceDN/>
      <w:spacing w:before="0" w:beforeLines="0" w:after="0" w:afterLines="0" w:line="240" w:lineRule="auto"/>
      <w:ind w:left="0" w:firstLine="0"/>
      <w:jc w:val="both"/>
    </w:pPr>
    <w:rPr>
      <w:rFonts w:ascii="宋体" w:eastAsia="宋体"/>
      <w:sz w:val="21"/>
    </w:rPr>
  </w:style>
  <w:style w:type="paragraph" w:customStyle="1" w:styleId="197">
    <w:name w:val="内容标题"/>
    <w:next w:val="196"/>
    <w:uiPriority w:val="0"/>
    <w:pPr>
      <w:widowControl w:val="0"/>
      <w:shd w:val="clear" w:color="000000" w:fill="000080"/>
      <w:jc w:val="both"/>
    </w:pPr>
    <w:rPr>
      <w:rFonts w:ascii="Tahoma"/>
      <w:sz w:val="24"/>
      <w:lang w:val="en-US" w:eastAsia="zh-CN" w:bidi="ar-SA"/>
    </w:rPr>
  </w:style>
  <w:style w:type="paragraph" w:customStyle="1" w:styleId="19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9">
    <w:name w:val="标书正文:  0.74 厘米"/>
    <w:basedOn w:val="1"/>
    <w:next w:val="174"/>
    <w:uiPriority w:val="0"/>
    <w:pPr>
      <w:widowControl w:val="0"/>
      <w:autoSpaceDE/>
      <w:autoSpaceDN/>
      <w:spacing w:before="0" w:beforeLines="0" w:after="0" w:afterLines="0" w:line="360" w:lineRule="auto"/>
      <w:ind w:left="0" w:firstLine="420"/>
      <w:jc w:val="both"/>
    </w:pPr>
    <w:rPr>
      <w:rFonts w:ascii="Times New Roman" w:eastAsia="宋体"/>
      <w:sz w:val="24"/>
    </w:rPr>
  </w:style>
  <w:style w:type="paragraph" w:customStyle="1" w:styleId="200">
    <w:name w:val="列表段落1"/>
    <w:basedOn w:val="1"/>
    <w:qFormat/>
    <w:uiPriority w:val="34"/>
    <w:pPr>
      <w:ind w:firstLine="420" w:firstLineChars="200"/>
    </w:pPr>
  </w:style>
  <w:style w:type="paragraph" w:customStyle="1" w:styleId="201">
    <w:name w:val="WPSOffice手动目录 1"/>
    <w:uiPriority w:val="0"/>
    <w:rPr>
      <w:lang w:val="en-US" w:eastAsia="zh-CN" w:bidi="ar-SA"/>
    </w:rPr>
  </w:style>
  <w:style w:type="paragraph" w:customStyle="1" w:styleId="202">
    <w:name w:val="附录2"/>
    <w:basedOn w:val="1"/>
    <w:next w:val="1"/>
    <w:uiPriority w:val="0"/>
    <w:pPr>
      <w:widowControl w:val="0"/>
      <w:autoSpaceDE/>
      <w:autoSpaceDN/>
      <w:spacing w:before="0" w:beforeLines="0" w:after="0" w:afterLines="0" w:line="240" w:lineRule="auto"/>
      <w:ind w:left="420" w:hanging="420"/>
      <w:jc w:val="both"/>
      <w:outlineLvl w:val="1"/>
    </w:pPr>
    <w:rPr>
      <w:rFonts w:ascii="黑体" w:eastAsia="黑体"/>
      <w:b/>
      <w:sz w:val="32"/>
    </w:rPr>
  </w:style>
  <w:style w:type="paragraph" w:customStyle="1" w:styleId="203">
    <w:name w:val="IN Feature"/>
    <w:next w:val="94"/>
    <w:uiPriority w:val="0"/>
    <w:pPr>
      <w:spacing w:before="240" w:after="240"/>
      <w:outlineLvl w:val="7"/>
    </w:pPr>
    <w:rPr>
      <w:rFonts w:ascii="Arial" w:eastAsia="黑体"/>
      <w:sz w:val="21"/>
      <w:lang w:val="en-US" w:eastAsia="zh-CN" w:bidi="ar-SA"/>
    </w:rPr>
  </w:style>
  <w:style w:type="paragraph" w:customStyle="1" w:styleId="204">
    <w:name w:val="样式1"/>
    <w:basedOn w:val="6"/>
    <w:next w:val="1"/>
    <w:uiPriority w:val="0"/>
    <w:pPr>
      <w:widowControl w:val="0"/>
      <w:autoSpaceDE/>
      <w:autoSpaceDN/>
      <w:spacing w:before="500" w:beforeLines="0" w:after="260" w:afterLines="0" w:line="560" w:lineRule="atLeast"/>
      <w:ind w:left="420" w:hanging="420"/>
      <w:jc w:val="both"/>
      <w:outlineLvl w:val="3"/>
    </w:pPr>
    <w:rPr>
      <w:rFonts w:ascii="Arial" w:eastAsia="黑体"/>
      <w:sz w:val="28"/>
    </w:rPr>
  </w:style>
  <w:style w:type="paragraph" w:customStyle="1" w:styleId="205">
    <w:name w:val="样式 首行缩进:  0.74 厘米"/>
    <w:basedOn w:val="1"/>
    <w:next w:val="192"/>
    <w:uiPriority w:val="0"/>
    <w:pPr>
      <w:widowControl w:val="0"/>
      <w:autoSpaceDE/>
      <w:autoSpaceDN/>
      <w:spacing w:before="0" w:beforeLines="0" w:after="0" w:afterLines="0" w:line="360" w:lineRule="auto"/>
      <w:ind w:left="0" w:firstLine="420"/>
      <w:jc w:val="both"/>
    </w:pPr>
    <w:rPr>
      <w:rFonts w:ascii="Times New Roman" w:eastAsia="宋体"/>
      <w:sz w:val="24"/>
    </w:rPr>
  </w:style>
  <w:style w:type="paragraph" w:customStyle="1" w:styleId="206">
    <w:name w:val="Table Text Char1"/>
    <w:next w:val="207"/>
    <w:uiPriority w:val="0"/>
    <w:pPr>
      <w:spacing w:before="80" w:after="80"/>
    </w:pPr>
    <w:rPr>
      <w:rFonts w:ascii="Arial"/>
      <w:sz w:val="18"/>
      <w:lang w:val="en-US" w:eastAsia="zh-CN" w:bidi="ar-SA"/>
    </w:rPr>
  </w:style>
  <w:style w:type="paragraph" w:customStyle="1" w:styleId="207">
    <w:name w:val="正文表格"/>
    <w:basedOn w:val="1"/>
    <w:next w:val="153"/>
    <w:uiPriority w:val="0"/>
    <w:pPr>
      <w:widowControl w:val="0"/>
      <w:autoSpaceDE/>
      <w:autoSpaceDN/>
      <w:spacing w:before="40" w:beforeLines="0" w:after="40" w:afterLines="0" w:line="240" w:lineRule="auto"/>
      <w:ind w:left="0" w:firstLine="0"/>
      <w:jc w:val="both"/>
    </w:pPr>
    <w:rPr>
      <w:rFonts w:ascii="Times New Roman" w:eastAsia="宋体"/>
      <w:sz w:val="24"/>
    </w:rPr>
  </w:style>
  <w:style w:type="paragraph" w:styleId="208">
    <w:name w:val="Quote"/>
    <w:next w:val="1"/>
    <w:qFormat/>
    <w:uiPriority w:val="0"/>
    <w:pPr>
      <w:wordWrap w:val="0"/>
      <w:spacing w:before="200" w:after="160"/>
      <w:ind w:left="864" w:right="864"/>
      <w:jc w:val="center"/>
    </w:pPr>
    <w:rPr>
      <w:i/>
      <w:sz w:val="21"/>
      <w:lang w:val="en-US" w:eastAsia="zh-CN" w:bidi="ar-SA"/>
    </w:rPr>
  </w:style>
  <w:style w:type="paragraph" w:customStyle="1" w:styleId="209">
    <w:name w:val="表号"/>
    <w:basedOn w:val="1"/>
    <w:next w:val="188"/>
    <w:uiPriority w:val="0"/>
    <w:pPr>
      <w:widowControl w:val="0"/>
      <w:autoSpaceDE w:val="0"/>
      <w:autoSpaceDN w:val="0"/>
      <w:spacing w:before="210" w:beforeLines="0" w:after="210" w:afterLines="0" w:line="240" w:lineRule="auto"/>
      <w:ind w:left="425" w:hanging="137"/>
      <w:jc w:val="center"/>
    </w:pPr>
    <w:rPr>
      <w:rFonts w:ascii="Times New Roman" w:eastAsia="宋体"/>
      <w:sz w:val="21"/>
    </w:rPr>
  </w:style>
  <w:style w:type="paragraph" w:styleId="210">
    <w:name w:val="List Paragraph"/>
    <w:basedOn w:val="1"/>
    <w:next w:val="1"/>
    <w:qFormat/>
    <w:uiPriority w:val="0"/>
    <w:pPr>
      <w:wordWrap w:val="0"/>
      <w:ind w:left="850"/>
      <w:jc w:val="both"/>
    </w:pPr>
    <w:rPr>
      <w:sz w:val="21"/>
      <w:lang w:val="en-US" w:eastAsia="zh-CN" w:bidi="ar-SA"/>
    </w:rPr>
  </w:style>
  <w:style w:type="paragraph" w:customStyle="1" w:styleId="211">
    <w:name w:val="Figure Description"/>
    <w:next w:val="1"/>
    <w:uiPriority w:val="0"/>
    <w:pPr>
      <w:spacing w:before="80" w:after="320"/>
      <w:ind w:left="1134"/>
      <w:jc w:val="center"/>
    </w:pPr>
    <w:rPr>
      <w:rFonts w:ascii="Arial" w:eastAsia="黑体"/>
      <w:sz w:val="18"/>
      <w:lang w:val="en-US" w:eastAsia="zh-CN" w:bidi="ar-SA"/>
    </w:rPr>
  </w:style>
  <w:style w:type="paragraph" w:customStyle="1" w:styleId="212">
    <w:name w:val=" Char Char Char Char Char Char Char Char Char Char Char Char Char"/>
    <w:basedOn w:val="1"/>
    <w:next w:val="163"/>
    <w:uiPriority w:val="0"/>
    <w:pPr>
      <w:widowControl/>
      <w:autoSpaceDE/>
      <w:autoSpaceDN/>
      <w:spacing w:before="0" w:beforeLines="0" w:after="160" w:afterLines="0" w:line="240" w:lineRule="exact"/>
      <w:ind w:left="0" w:firstLine="0"/>
    </w:pPr>
    <w:rPr>
      <w:rFonts w:ascii="Verdana" w:eastAsia="仿宋_GB2312"/>
      <w:sz w:val="24"/>
    </w:rPr>
  </w:style>
  <w:style w:type="character" w:customStyle="1" w:styleId="213">
    <w:name w:val="正文文本 Char"/>
    <w:link w:val="2"/>
    <w:uiPriority w:val="0"/>
    <w:rPr>
      <w:rFonts w:hint="default" w:ascii="Times New Roman" w:hAnsi="Times New Roman" w:cs="Times New Roman"/>
      <w:sz w:val="20"/>
    </w:rPr>
  </w:style>
  <w:style w:type="character" w:customStyle="1" w:styleId="214">
    <w:name w:val="标题 2 Char1"/>
    <w:link w:val="4"/>
    <w:uiPriority w:val="0"/>
    <w:rPr>
      <w:rFonts w:ascii="Arial" w:hAnsi="Arial" w:cs="Arial"/>
      <w:b/>
      <w:sz w:val="20"/>
    </w:rPr>
  </w:style>
  <w:style w:type="character" w:customStyle="1" w:styleId="215">
    <w:name w:val="标题 3 Char"/>
    <w:link w:val="5"/>
    <w:uiPriority w:val="0"/>
    <w:rPr>
      <w:rFonts w:hint="default" w:ascii="Calibri" w:hAnsi="Calibri" w:cs="Calibri"/>
      <w:b/>
      <w:sz w:val="20"/>
    </w:rPr>
  </w:style>
  <w:style w:type="character" w:customStyle="1" w:styleId="216">
    <w:name w:val="正文文本缩进 Char"/>
    <w:link w:val="28"/>
    <w:uiPriority w:val="0"/>
    <w:rPr>
      <w:rFonts w:hint="default" w:ascii="Times New Roman" w:hAnsi="Times New Roman" w:cs="Times New Roman"/>
      <w:sz w:val="20"/>
    </w:rPr>
  </w:style>
  <w:style w:type="character" w:customStyle="1" w:styleId="217">
    <w:name w:val="font51"/>
    <w:qFormat/>
    <w:uiPriority w:val="0"/>
    <w:rPr>
      <w:rFonts w:hint="eastAsia" w:ascii="宋体" w:hAnsi="宋体" w:eastAsia="宋体" w:cs="宋体"/>
      <w:color w:val="FF0000"/>
      <w:sz w:val="20"/>
      <w:szCs w:val="20"/>
      <w:u w:val="none"/>
    </w:rPr>
  </w:style>
  <w:style w:type="character" w:customStyle="1" w:styleId="218">
    <w:name w:val="item-name"/>
    <w:basedOn w:val="70"/>
    <w:uiPriority w:val="0"/>
  </w:style>
  <w:style w:type="character" w:customStyle="1" w:styleId="219">
    <w:name w:val=" Char Char5"/>
    <w:uiPriority w:val="0"/>
    <w:rPr>
      <w:b/>
      <w:sz w:val="20"/>
    </w:rPr>
  </w:style>
  <w:style w:type="character" w:customStyle="1" w:styleId="220">
    <w:name w:val="样式 宋体"/>
    <w:uiPriority w:val="0"/>
    <w:rPr>
      <w:sz w:val="20"/>
    </w:rPr>
  </w:style>
  <w:style w:type="character" w:customStyle="1" w:styleId="221">
    <w:name w:val=" Char Char3"/>
    <w:uiPriority w:val="0"/>
    <w:rPr>
      <w:sz w:val="20"/>
    </w:rPr>
  </w:style>
  <w:style w:type="character" w:customStyle="1" w:styleId="222">
    <w:name w:val="top-det1"/>
    <w:uiPriority w:val="0"/>
    <w:rPr>
      <w:b/>
      <w:color w:val="000000"/>
      <w:sz w:val="20"/>
    </w:rPr>
  </w:style>
  <w:style w:type="character" w:customStyle="1" w:styleId="223">
    <w:name w:val="批注文字 Char"/>
    <w:uiPriority w:val="0"/>
    <w:rPr>
      <w:sz w:val="20"/>
    </w:rPr>
  </w:style>
  <w:style w:type="character" w:customStyle="1" w:styleId="224">
    <w:name w:val="font1"/>
    <w:uiPriority w:val="0"/>
    <w:rPr>
      <w:color w:val="000000"/>
      <w:sz w:val="20"/>
    </w:rPr>
  </w:style>
  <w:style w:type="character" w:customStyle="1" w:styleId="225">
    <w:name w:val="日期 Char"/>
    <w:uiPriority w:val="0"/>
    <w:rPr>
      <w:sz w:val="20"/>
    </w:rPr>
  </w:style>
  <w:style w:type="character" w:customStyle="1" w:styleId="226">
    <w:name w:val="item-name2"/>
    <w:basedOn w:val="70"/>
    <w:uiPriority w:val="0"/>
    <w:rPr>
      <w:rFonts w:hint="eastAsia" w:ascii="宋体" w:hAnsi="宋体" w:eastAsia="宋体" w:cs="宋体"/>
      <w:color w:val="438BD3"/>
      <w:sz w:val="18"/>
      <w:szCs w:val="18"/>
      <w:u w:val="none"/>
    </w:rPr>
  </w:style>
  <w:style w:type="character" w:customStyle="1" w:styleId="227">
    <w:name w:val="标题 2 Char"/>
    <w:uiPriority w:val="0"/>
    <w:rPr>
      <w:sz w:val="20"/>
    </w:rPr>
  </w:style>
  <w:style w:type="character" w:customStyle="1" w:styleId="228">
    <w:name w:val="item-name1"/>
    <w:basedOn w:val="70"/>
    <w:uiPriority w:val="0"/>
  </w:style>
  <w:style w:type="character" w:customStyle="1" w:styleId="229">
    <w:name w:val="未命名11"/>
    <w:uiPriority w:val="0"/>
    <w:rPr>
      <w:color w:val="77FFFF"/>
      <w:sz w:val="20"/>
    </w:rPr>
  </w:style>
  <w:style w:type="character" w:customStyle="1" w:styleId="230">
    <w:name w:val="Table Heading Char Char"/>
    <w:uiPriority w:val="0"/>
    <w:rPr>
      <w:sz w:val="20"/>
    </w:rPr>
  </w:style>
  <w:style w:type="character" w:customStyle="1" w:styleId="231">
    <w:name w:val="正文文本缩进 字符"/>
    <w:uiPriority w:val="0"/>
    <w:rPr>
      <w:rFonts w:hint="default" w:ascii="Calibri" w:hAnsi="Calibri" w:cs="Calibri"/>
      <w:sz w:val="20"/>
    </w:rPr>
  </w:style>
  <w:style w:type="character" w:customStyle="1" w:styleId="232">
    <w:name w:val="Table Text Char Char Char Char"/>
    <w:uiPriority w:val="0"/>
    <w:rPr>
      <w:sz w:val="20"/>
    </w:rPr>
  </w:style>
  <w:style w:type="character" w:styleId="233">
    <w:name w:val=""/>
    <w:qFormat/>
    <w:uiPriority w:val="0"/>
    <w:rPr>
      <w:i/>
      <w:color w:val="auto"/>
      <w:sz w:val="21"/>
    </w:rPr>
  </w:style>
  <w:style w:type="character" w:customStyle="1" w:styleId="234">
    <w:name w:val="v151"/>
    <w:uiPriority w:val="0"/>
    <w:rPr>
      <w:sz w:val="20"/>
    </w:rPr>
  </w:style>
  <w:style w:type="character" w:customStyle="1" w:styleId="235">
    <w:name w:val="文字 Char"/>
    <w:uiPriority w:val="0"/>
    <w:rPr>
      <w:sz w:val="20"/>
    </w:rPr>
  </w:style>
  <w:style w:type="character" w:customStyle="1" w:styleId="236">
    <w:name w:val=" Char Char2"/>
    <w:uiPriority w:val="0"/>
    <w:rPr>
      <w:sz w:val="20"/>
    </w:rPr>
  </w:style>
  <w:style w:type="character" w:customStyle="1" w:styleId="237">
    <w:name w:val="Table Text Char1 Char"/>
    <w:uiPriority w:val="0"/>
    <w:rPr>
      <w:sz w:val="20"/>
    </w:rPr>
  </w:style>
  <w:style w:type="character" w:customStyle="1" w:styleId="238">
    <w:name w:val="正文 + 三号 Char"/>
    <w:aliases w:val="加粗 Char"/>
    <w:uiPriority w:val="0"/>
    <w:rPr>
      <w:sz w:val="20"/>
    </w:rPr>
  </w:style>
  <w:style w:type="character" w:customStyle="1" w:styleId="239">
    <w:name w:val="font41"/>
    <w:uiPriority w:val="0"/>
    <w:rPr>
      <w:rFonts w:hint="eastAsia" w:ascii="宋体" w:hAnsi="宋体" w:eastAsia="宋体" w:cs="宋体"/>
      <w:color w:val="000000"/>
      <w:sz w:val="20"/>
      <w:szCs w:val="20"/>
      <w:u w:val="none"/>
    </w:rPr>
  </w:style>
  <w:style w:type="character" w:styleId="240">
    <w:name w:val=""/>
    <w:qFormat/>
    <w:uiPriority w:val="0"/>
    <w:rPr>
      <w:i/>
      <w:color w:val="auto"/>
      <w:sz w:val="21"/>
    </w:rPr>
  </w:style>
  <w:style w:type="character" w:customStyle="1" w:styleId="241">
    <w:name w:val="font31"/>
    <w:uiPriority w:val="0"/>
    <w:rPr>
      <w:rFonts w:hint="eastAsia" w:ascii="黑体" w:hAnsi="宋体" w:eastAsia="黑体" w:cs="黑体"/>
      <w:color w:val="000000"/>
      <w:sz w:val="22"/>
      <w:szCs w:val="22"/>
      <w:u w:val="none"/>
    </w:rPr>
  </w:style>
  <w:style w:type="character" w:styleId="242">
    <w:name w:val=""/>
    <w:qFormat/>
    <w:uiPriority w:val="0"/>
    <w:rPr>
      <w:b/>
      <w:color w:val="auto"/>
      <w:sz w:val="21"/>
    </w:rPr>
  </w:style>
  <w:style w:type="character" w:customStyle="1" w:styleId="243">
    <w:name w:val=" Char Char7"/>
    <w:uiPriority w:val="0"/>
    <w:rPr>
      <w:sz w:val="20"/>
    </w:rPr>
  </w:style>
  <w:style w:type="character" w:customStyle="1" w:styleId="244">
    <w:name w:val="font11"/>
    <w:basedOn w:val="70"/>
    <w:uiPriority w:val="0"/>
    <w:rPr>
      <w:rFonts w:ascii="Arial" w:hAnsi="Arial" w:cs="Arial"/>
      <w:color w:val="000000"/>
      <w:sz w:val="20"/>
      <w:szCs w:val="20"/>
      <w:u w:val="none"/>
    </w:rPr>
  </w:style>
  <w:style w:type="character" w:customStyle="1" w:styleId="245">
    <w:name w:val="正文文本 字符"/>
    <w:uiPriority w:val="0"/>
    <w:rPr>
      <w:rFonts w:hint="default" w:ascii="Calibri" w:hAnsi="Calibri" w:cs="Calibri"/>
      <w:sz w:val="20"/>
    </w:rPr>
  </w:style>
  <w:style w:type="character" w:customStyle="1" w:styleId="246">
    <w:name w:val=" Char Char"/>
    <w:uiPriority w:val="0"/>
    <w:rPr>
      <w:sz w:val="20"/>
    </w:rPr>
  </w:style>
  <w:style w:type="character" w:styleId="247">
    <w:name w:val=""/>
    <w:qFormat/>
    <w:uiPriority w:val="0"/>
    <w:rPr>
      <w:color w:val="auto"/>
      <w:sz w:val="21"/>
    </w:rPr>
  </w:style>
  <w:style w:type="character" w:customStyle="1" w:styleId="248">
    <w:name w:val="crowed11"/>
    <w:uiPriority w:val="0"/>
    <w:rPr>
      <w:sz w:val="20"/>
    </w:rPr>
  </w:style>
  <w:style w:type="character" w:customStyle="1" w:styleId="249">
    <w:name w:val="标题 2 字符"/>
    <w:uiPriority w:val="0"/>
    <w:rPr>
      <w:rFonts w:hint="default" w:ascii="等线 Light" w:hAnsi="等线 Light" w:eastAsia="等线 Light" w:cs="等线 Light"/>
      <w:b/>
      <w:sz w:val="20"/>
    </w:rPr>
  </w:style>
  <w:style w:type="character" w:customStyle="1" w:styleId="250">
    <w:name w:val="font21"/>
    <w:basedOn w:val="70"/>
    <w:uiPriority w:val="0"/>
    <w:rPr>
      <w:rFonts w:hint="eastAsia" w:ascii="黑体" w:hAnsi="宋体" w:eastAsia="黑体" w:cs="黑体"/>
      <w:color w:val="000000"/>
      <w:sz w:val="22"/>
      <w:szCs w:val="22"/>
      <w:u w:val="none"/>
      <w:vertAlign w:val="superscript"/>
    </w:rPr>
  </w:style>
  <w:style w:type="character" w:customStyle="1" w:styleId="251">
    <w:name w:val="标题 3 字符"/>
    <w:uiPriority w:val="0"/>
    <w:rPr>
      <w:rFonts w:hint="default" w:ascii="Calibri" w:hAnsi="Calibri" w:cs="Calibri"/>
      <w:b/>
      <w:sz w:val="20"/>
    </w:rPr>
  </w:style>
  <w:style w:type="character" w:customStyle="1" w:styleId="252">
    <w:name w:val="标书正文:  0.74 厘米 Char1"/>
    <w:uiPriority w:val="0"/>
    <w:rPr>
      <w:sz w:val="20"/>
    </w:rPr>
  </w:style>
  <w:style w:type="character" w:customStyle="1" w:styleId="253">
    <w:name w:val="页眉 Char"/>
    <w:uiPriority w:val="0"/>
    <w:rPr>
      <w:sz w:val="20"/>
    </w:rPr>
  </w:style>
  <w:style w:type="character" w:styleId="254">
    <w:name w:val=""/>
    <w:qFormat/>
    <w:uiPriority w:val="0"/>
    <w:rPr>
      <w:b/>
      <w:i/>
      <w:sz w:val="21"/>
    </w:rPr>
  </w:style>
  <w:style w:type="character" w:customStyle="1" w:styleId="255">
    <w:name w:val="页脚 Char"/>
    <w:uiPriority w:val="0"/>
    <w:rPr>
      <w:sz w:val="20"/>
    </w:rPr>
  </w:style>
  <w:style w:type="character" w:customStyle="1" w:styleId="256">
    <w:name w:val="Table Text Char"/>
    <w:uiPriority w:val="0"/>
    <w:rPr>
      <w:sz w:val="20"/>
    </w:rPr>
  </w:style>
  <w:style w:type="character" w:customStyle="1" w:styleId="257">
    <w:name w:val="content-white1"/>
    <w:uiPriority w:val="0"/>
    <w:rPr>
      <w:sz w:val="20"/>
      <w:u w:val="none"/>
    </w:rPr>
  </w:style>
  <w:style w:type="character" w:customStyle="1" w:styleId="258">
    <w:name w:val=" Char Char6"/>
    <w:uiPriority w:val="0"/>
    <w:rPr>
      <w:sz w:val="20"/>
    </w:rPr>
  </w:style>
  <w:style w:type="character" w:customStyle="1" w:styleId="259">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uiPriority w:val="0"/>
    <w:rPr>
      <w:sz w:val="20"/>
    </w:rPr>
  </w:style>
  <w:style w:type="character" w:customStyle="1" w:styleId="260">
    <w:name w:val=" Char Char4"/>
    <w:uiPriority w:val="0"/>
    <w:rPr>
      <w:b/>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22782</Words>
  <Characters>24544</Characters>
  <Lines>315</Lines>
  <Paragraphs>88</Paragraphs>
  <TotalTime>6</TotalTime>
  <ScaleCrop>false</ScaleCrop>
  <LinksUpToDate>false</LinksUpToDate>
  <CharactersWithSpaces>26171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2020-10-13T07:42:00Z</dcterms:created>
  <dc:creator>admin</dc:creator>
  <cp:lastModifiedBy>lp</cp:lastModifiedBy>
  <cp:lastPrinted>2022-05-10T08:56:44Z</cp:lastPrinted>
  <dcterms:modified xsi:type="dcterms:W3CDTF">2023-06-05T04:56:48Z</dcterms:modified>
  <dc:title>货物</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99BA1497AEF04E5D96AB5291902F05FD</vt:lpwstr>
  </property>
</Properties>
</file>